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仿宋" w:hAnsi="仿宋" w:eastAsia="仿宋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/>
          <w:b/>
          <w:bCs/>
          <w:kern w:val="44"/>
          <w:sz w:val="32"/>
          <w:szCs w:val="32"/>
        </w:rPr>
        <w:t>附件一：</w:t>
      </w:r>
    </w:p>
    <w:p>
      <w:pPr>
        <w:pStyle w:val="2"/>
        <w:shd w:val="clear" w:color="auto" w:fill="FFFFFF"/>
        <w:spacing w:before="0" w:beforeAutospacing="0"/>
        <w:ind w:firstLine="640" w:firstLineChars="200"/>
        <w:jc w:val="center"/>
        <w:rPr>
          <w:rFonts w:hint="eastAsia" w:ascii="黑体" w:hAnsi="黑体" w:eastAsia="黑体" w:cstheme="minorBidi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Cs/>
          <w:kern w:val="0"/>
          <w:sz w:val="32"/>
          <w:szCs w:val="32"/>
          <w:lang w:val="en-US" w:eastAsia="zh-CN" w:bidi="ar-SA"/>
        </w:rPr>
        <w:t>《课程表》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5661" w:type="dxa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  <w:t>课程内容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bookmarkStart w:id="0" w:name="_GoBack" w:colFirst="1" w:colLast="1"/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  <w:t>1</w:t>
            </w:r>
          </w:p>
        </w:tc>
        <w:tc>
          <w:tcPr>
            <w:tcW w:w="5661" w:type="dxa"/>
            <w:vAlign w:val="top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</w:rPr>
              <w:t>领导致辞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  <w:t>2</w:t>
            </w:r>
          </w:p>
        </w:tc>
        <w:tc>
          <w:tcPr>
            <w:tcW w:w="5661" w:type="dxa"/>
            <w:vAlign w:val="top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</w:rPr>
              <w:t>投资者保护参考文本讲解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  <w:t>3</w:t>
            </w:r>
          </w:p>
        </w:tc>
        <w:tc>
          <w:tcPr>
            <w:tcW w:w="5661" w:type="dxa"/>
            <w:vAlign w:val="top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</w:rPr>
              <w:t>持有人会议和受托管理制度介绍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2"/>
              <w:spacing w:before="0" w:beforeAutospacing="0"/>
              <w:jc w:val="center"/>
              <w:rPr>
                <w:rFonts w:hint="default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  <w:t>4</w:t>
            </w:r>
          </w:p>
        </w:tc>
        <w:tc>
          <w:tcPr>
            <w:tcW w:w="5661" w:type="dxa"/>
            <w:vAlign w:val="top"/>
          </w:tcPr>
          <w:p>
            <w:pPr>
              <w:pStyle w:val="2"/>
              <w:spacing w:before="0" w:beforeAutospacing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</w:rPr>
              <w:t>债券监管框架与风险管理工具简介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F1883"/>
    <w:rsid w:val="14836DF6"/>
    <w:rsid w:val="780A2ACA"/>
    <w:rsid w:val="7C8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shenjun</dc:creator>
  <cp:lastModifiedBy>shenjun</cp:lastModifiedBy>
  <dcterms:modified xsi:type="dcterms:W3CDTF">2022-05-13T02:45:31Z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