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29" w:rsidRDefault="00EC2F29" w:rsidP="00EC2F29">
      <w:pPr>
        <w:widowControl/>
        <w:snapToGrid w:val="0"/>
        <w:spacing w:line="360" w:lineRule="auto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附件：《课程表》</w:t>
      </w:r>
    </w:p>
    <w:p w:rsidR="00EC2F29" w:rsidRDefault="00EC2F29" w:rsidP="00EC2F29">
      <w:pPr>
        <w:widowControl/>
        <w:snapToGrid w:val="0"/>
        <w:spacing w:line="360" w:lineRule="auto"/>
        <w:jc w:val="center"/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第一部分：新能源领域专项课程表</w:t>
      </w:r>
    </w:p>
    <w:tbl>
      <w:tblPr>
        <w:tblW w:w="5000" w:type="pct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2" w:space="0" w:color="264E84"/>
          <w:insideV w:val="single" w:sz="2" w:space="0" w:color="264E84"/>
        </w:tblBorders>
        <w:tblLayout w:type="fixed"/>
        <w:tblLook w:val="04A0"/>
      </w:tblPr>
      <w:tblGrid>
        <w:gridCol w:w="5141"/>
        <w:gridCol w:w="3381"/>
      </w:tblGrid>
      <w:tr w:rsidR="00EC2F29" w:rsidTr="00EC2F29">
        <w:trPr>
          <w:trHeight w:val="454"/>
          <w:jc w:val="center"/>
        </w:trPr>
        <w:tc>
          <w:tcPr>
            <w:tcW w:w="5141" w:type="dxa"/>
            <w:tcBorders>
              <w:top w:val="single" w:sz="12" w:space="0" w:color="264E84"/>
              <w:left w:val="single" w:sz="12" w:space="0" w:color="264E84"/>
              <w:bottom w:val="single" w:sz="2" w:space="0" w:color="264E84"/>
              <w:right w:val="single" w:sz="2" w:space="0" w:color="264E84"/>
            </w:tcBorders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课程内容</w:t>
            </w:r>
          </w:p>
        </w:tc>
        <w:tc>
          <w:tcPr>
            <w:tcW w:w="3381" w:type="dxa"/>
            <w:tcBorders>
              <w:top w:val="single" w:sz="12" w:space="0" w:color="264E84"/>
              <w:left w:val="single" w:sz="2" w:space="0" w:color="264E84"/>
              <w:bottom w:val="single" w:sz="2" w:space="0" w:color="264E84"/>
              <w:right w:val="single" w:sz="12" w:space="0" w:color="264E84"/>
            </w:tcBorders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授课师资</w:t>
            </w:r>
          </w:p>
        </w:tc>
      </w:tr>
      <w:tr w:rsidR="00EC2F29" w:rsidTr="00EC2F29">
        <w:trPr>
          <w:trHeight w:val="454"/>
          <w:jc w:val="center"/>
        </w:trPr>
        <w:tc>
          <w:tcPr>
            <w:tcW w:w="5141" w:type="dxa"/>
            <w:tcBorders>
              <w:top w:val="single" w:sz="2" w:space="0" w:color="264E84"/>
              <w:left w:val="single" w:sz="12" w:space="0" w:color="264E84"/>
              <w:bottom w:val="single" w:sz="2" w:space="0" w:color="264E84"/>
              <w:right w:val="single" w:sz="2" w:space="0" w:color="264E84"/>
            </w:tcBorders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新能源产业分析框架</w:t>
            </w:r>
          </w:p>
        </w:tc>
        <w:tc>
          <w:tcPr>
            <w:tcW w:w="3381" w:type="dxa"/>
            <w:tcBorders>
              <w:top w:val="single" w:sz="2" w:space="0" w:color="264E84"/>
              <w:left w:val="single" w:sz="2" w:space="0" w:color="264E84"/>
              <w:bottom w:val="single" w:sz="2" w:space="0" w:color="264E84"/>
              <w:right w:val="single" w:sz="12" w:space="0" w:color="264E84"/>
            </w:tcBorders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东吴证券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新能源和电力设备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行业首席分析师</w:t>
            </w:r>
          </w:p>
        </w:tc>
      </w:tr>
      <w:tr w:rsidR="00EC2F29" w:rsidTr="00EC2F29">
        <w:trPr>
          <w:trHeight w:val="454"/>
          <w:jc w:val="center"/>
        </w:trPr>
        <w:tc>
          <w:tcPr>
            <w:tcW w:w="5141" w:type="dxa"/>
            <w:tcBorders>
              <w:top w:val="single" w:sz="2" w:space="0" w:color="264E84"/>
              <w:left w:val="single" w:sz="12" w:space="0" w:color="264E84"/>
              <w:bottom w:val="single" w:sz="2" w:space="0" w:color="264E84"/>
              <w:right w:val="single" w:sz="2" w:space="0" w:color="264E84"/>
            </w:tcBorders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新能源汽车行业投资研究</w:t>
            </w:r>
          </w:p>
        </w:tc>
        <w:tc>
          <w:tcPr>
            <w:tcW w:w="3381" w:type="dxa"/>
            <w:tcBorders>
              <w:top w:val="single" w:sz="2" w:space="0" w:color="264E84"/>
              <w:left w:val="single" w:sz="2" w:space="0" w:color="264E84"/>
              <w:bottom w:val="single" w:sz="2" w:space="0" w:color="264E84"/>
              <w:right w:val="single" w:sz="12" w:space="0" w:color="264E84"/>
            </w:tcBorders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北京汽车集团产业投资有限公司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副总经理</w:t>
            </w:r>
          </w:p>
        </w:tc>
      </w:tr>
      <w:tr w:rsidR="00EC2F29" w:rsidTr="00EC2F29">
        <w:trPr>
          <w:trHeight w:val="454"/>
          <w:jc w:val="center"/>
        </w:trPr>
        <w:tc>
          <w:tcPr>
            <w:tcW w:w="5141" w:type="dxa"/>
            <w:tcBorders>
              <w:top w:val="single" w:sz="2" w:space="0" w:color="264E84"/>
              <w:left w:val="single" w:sz="12" w:space="0" w:color="264E84"/>
              <w:bottom w:val="single" w:sz="2" w:space="0" w:color="264E84"/>
              <w:right w:val="single" w:sz="2" w:space="0" w:color="264E84"/>
            </w:tcBorders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新能源（非汽车）产业链投资研究</w:t>
            </w:r>
          </w:p>
        </w:tc>
        <w:tc>
          <w:tcPr>
            <w:tcW w:w="3381" w:type="dxa"/>
            <w:tcBorders>
              <w:top w:val="single" w:sz="2" w:space="0" w:color="264E84"/>
              <w:left w:val="single" w:sz="2" w:space="0" w:color="264E84"/>
              <w:bottom w:val="single" w:sz="2" w:space="0" w:color="264E84"/>
              <w:right w:val="single" w:sz="12" w:space="0" w:color="264E84"/>
            </w:tcBorders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红杉资本顾问咨询（北京）有限公司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董事总经理</w:t>
            </w:r>
          </w:p>
        </w:tc>
      </w:tr>
      <w:tr w:rsidR="00EC2F29" w:rsidTr="00EC2F29">
        <w:trPr>
          <w:trHeight w:val="454"/>
          <w:jc w:val="center"/>
        </w:trPr>
        <w:tc>
          <w:tcPr>
            <w:tcW w:w="5141" w:type="dxa"/>
            <w:tcBorders>
              <w:top w:val="single" w:sz="2" w:space="0" w:color="264E84"/>
              <w:left w:val="single" w:sz="12" w:space="0" w:color="264E84"/>
              <w:bottom w:val="single" w:sz="12" w:space="0" w:color="264E84"/>
              <w:right w:val="single" w:sz="2" w:space="0" w:color="264E84"/>
            </w:tcBorders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新能源相关行业企业上市审核关注要点</w:t>
            </w:r>
          </w:p>
        </w:tc>
        <w:tc>
          <w:tcPr>
            <w:tcW w:w="3381" w:type="dxa"/>
            <w:tcBorders>
              <w:top w:val="single" w:sz="2" w:space="0" w:color="264E84"/>
              <w:left w:val="single" w:sz="2" w:space="0" w:color="264E84"/>
              <w:bottom w:val="single" w:sz="12" w:space="0" w:color="264E84"/>
              <w:right w:val="single" w:sz="12" w:space="0" w:color="264E84"/>
            </w:tcBorders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上海证券交易所</w:t>
            </w:r>
          </w:p>
        </w:tc>
      </w:tr>
    </w:tbl>
    <w:p w:rsidR="00EC2F29" w:rsidRDefault="00EC2F29" w:rsidP="00EC2F29">
      <w:pPr>
        <w:adjustRightInd w:val="0"/>
        <w:snapToGrid w:val="0"/>
        <w:rPr>
          <w:rFonts w:ascii="仿宋_GB2312" w:eastAsia="仿宋_GB2312" w:hAnsi="仿宋" w:hint="eastAsia"/>
          <w:bCs/>
          <w:color w:val="000000" w:themeColor="text1"/>
          <w:sz w:val="28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28"/>
          <w:szCs w:val="30"/>
        </w:rPr>
        <w:t>（具体课程安排请以培训时课表为准）</w:t>
      </w:r>
    </w:p>
    <w:p w:rsidR="00EC2F29" w:rsidRDefault="00EC2F29" w:rsidP="00EC2F29">
      <w:pPr>
        <w:adjustRightInd w:val="0"/>
        <w:snapToGrid w:val="0"/>
        <w:rPr>
          <w:rFonts w:ascii="楷体" w:eastAsia="楷体" w:hAnsi="楷体" w:cs="宋体" w:hint="eastAsia"/>
          <w:sz w:val="24"/>
        </w:rPr>
      </w:pPr>
    </w:p>
    <w:p w:rsidR="00EC2F29" w:rsidRDefault="00EC2F29" w:rsidP="00EC2F29">
      <w:pPr>
        <w:adjustRightInd w:val="0"/>
        <w:snapToGrid w:val="0"/>
        <w:rPr>
          <w:rFonts w:ascii="楷体" w:eastAsia="楷体" w:hAnsi="楷体" w:cs="宋体" w:hint="eastAsia"/>
          <w:sz w:val="24"/>
        </w:rPr>
      </w:pPr>
    </w:p>
    <w:p w:rsidR="00EC2F29" w:rsidRDefault="00EC2F29" w:rsidP="00EC2F29">
      <w:pPr>
        <w:widowControl/>
        <w:snapToGrid w:val="0"/>
        <w:spacing w:line="360" w:lineRule="auto"/>
        <w:jc w:val="center"/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第二部分：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上市业务实操相关课程表</w:t>
      </w:r>
    </w:p>
    <w:tbl>
      <w:tblPr>
        <w:tblStyle w:val="a5"/>
        <w:tblW w:w="5000" w:type="pct"/>
        <w:tblInd w:w="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2612"/>
        <w:gridCol w:w="5910"/>
      </w:tblGrid>
      <w:tr w:rsidR="00EC2F29" w:rsidTr="00EC2F29">
        <w:trPr>
          <w:trHeight w:val="454"/>
        </w:trPr>
        <w:tc>
          <w:tcPr>
            <w:tcW w:w="25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noWrap/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课程系列</w:t>
            </w:r>
          </w:p>
        </w:tc>
        <w:tc>
          <w:tcPr>
            <w:tcW w:w="5739" w:type="dxa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noWrap/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课程名称</w:t>
            </w:r>
          </w:p>
        </w:tc>
      </w:tr>
      <w:tr w:rsidR="00EC2F29" w:rsidTr="00EC2F29">
        <w:trPr>
          <w:trHeight w:val="454"/>
        </w:trPr>
        <w:tc>
          <w:tcPr>
            <w:tcW w:w="2537" w:type="dxa"/>
            <w:vMerge w:val="restart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noWrap/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企业上市通识课程</w:t>
            </w:r>
          </w:p>
        </w:tc>
        <w:tc>
          <w:tcPr>
            <w:tcW w:w="573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noWrap/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我国资本市场总体形势</w:t>
            </w:r>
          </w:p>
        </w:tc>
      </w:tr>
      <w:tr w:rsidR="00EC2F29" w:rsidTr="00EC2F29">
        <w:trPr>
          <w:trHeight w:val="454"/>
        </w:trPr>
        <w:tc>
          <w:tcPr>
            <w:tcW w:w="0" w:type="auto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  <w:hideMark/>
          </w:tcPr>
          <w:p w:rsidR="00EC2F29" w:rsidRDefault="00EC2F29">
            <w:pPr>
              <w:widowControl/>
              <w:jc w:val="left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noWrap/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企业上市利弊分析</w:t>
            </w:r>
          </w:p>
        </w:tc>
      </w:tr>
      <w:tr w:rsidR="00EC2F29" w:rsidTr="00EC2F29">
        <w:trPr>
          <w:trHeight w:val="454"/>
        </w:trPr>
        <w:tc>
          <w:tcPr>
            <w:tcW w:w="0" w:type="auto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  <w:hideMark/>
          </w:tcPr>
          <w:p w:rsidR="00EC2F29" w:rsidRDefault="00EC2F29">
            <w:pPr>
              <w:widowControl/>
              <w:jc w:val="left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noWrap/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科创板定位和发行条件介绍</w:t>
            </w:r>
          </w:p>
        </w:tc>
      </w:tr>
      <w:tr w:rsidR="00EC2F29" w:rsidTr="00EC2F29">
        <w:trPr>
          <w:trHeight w:val="454"/>
        </w:trPr>
        <w:tc>
          <w:tcPr>
            <w:tcW w:w="0" w:type="auto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  <w:hideMark/>
          </w:tcPr>
          <w:p w:rsidR="00EC2F29" w:rsidRDefault="00EC2F29">
            <w:pPr>
              <w:widowControl/>
              <w:jc w:val="left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noWrap/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科创板差异化制度安排</w:t>
            </w:r>
          </w:p>
        </w:tc>
      </w:tr>
      <w:tr w:rsidR="00EC2F29" w:rsidTr="00EC2F29">
        <w:trPr>
          <w:trHeight w:val="454"/>
        </w:trPr>
        <w:tc>
          <w:tcPr>
            <w:tcW w:w="2537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IPO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若干具体问题</w:t>
            </w:r>
          </w:p>
        </w:tc>
        <w:tc>
          <w:tcPr>
            <w:tcW w:w="573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noWrap/>
            <w:vAlign w:val="center"/>
            <w:hideMark/>
          </w:tcPr>
          <w:p w:rsidR="00EC2F29" w:rsidRDefault="00EC2F29" w:rsidP="00E91D0A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科创上市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讲系列课程</w:t>
            </w:r>
          </w:p>
        </w:tc>
      </w:tr>
    </w:tbl>
    <w:p w:rsidR="00EC2F29" w:rsidRDefault="00EC2F29" w:rsidP="00EC2F29">
      <w:pPr>
        <w:widowControl/>
        <w:snapToGrid w:val="0"/>
        <w:spacing w:line="360" w:lineRule="auto"/>
        <w:ind w:firstLineChars="100" w:firstLine="280"/>
        <w:jc w:val="left"/>
        <w:rPr>
          <w:rFonts w:ascii="仿宋_GB2312" w:eastAsia="仿宋_GB2312" w:hAnsi="Times New Roman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28"/>
          <w:szCs w:val="30"/>
        </w:rPr>
        <w:t>（具体课程安排请以培训时课表为准）</w:t>
      </w:r>
      <w:bookmarkStart w:id="0" w:name="_GoBack"/>
      <w:bookmarkEnd w:id="0"/>
    </w:p>
    <w:p w:rsidR="00BF201B" w:rsidRPr="00EC2F29" w:rsidRDefault="00BF201B"/>
    <w:sectPr w:rsidR="00BF201B" w:rsidRPr="00EC2F29" w:rsidSect="00BF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14" w:rsidRDefault="00DF7114" w:rsidP="00EC2F29">
      <w:r>
        <w:separator/>
      </w:r>
    </w:p>
  </w:endnote>
  <w:endnote w:type="continuationSeparator" w:id="0">
    <w:p w:rsidR="00DF7114" w:rsidRDefault="00DF7114" w:rsidP="00EC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14" w:rsidRDefault="00DF7114" w:rsidP="00EC2F29">
      <w:r>
        <w:separator/>
      </w:r>
    </w:p>
  </w:footnote>
  <w:footnote w:type="continuationSeparator" w:id="0">
    <w:p w:rsidR="00DF7114" w:rsidRDefault="00DF7114" w:rsidP="00EC2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F29"/>
    <w:rsid w:val="00BF201B"/>
    <w:rsid w:val="00DF7114"/>
    <w:rsid w:val="00EC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F29"/>
    <w:rPr>
      <w:sz w:val="18"/>
      <w:szCs w:val="18"/>
    </w:rPr>
  </w:style>
  <w:style w:type="table" w:styleId="a5">
    <w:name w:val="Table Grid"/>
    <w:basedOn w:val="a1"/>
    <w:uiPriority w:val="59"/>
    <w:qFormat/>
    <w:rsid w:val="00EC2F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董贺(送（会签）部门相关人员)</dc:creator>
  <cp:keywords/>
  <dc:description/>
  <cp:lastModifiedBy>董贺(送（会签）部门相关人员)</cp:lastModifiedBy>
  <cp:revision>2</cp:revision>
  <dcterms:created xsi:type="dcterms:W3CDTF">2022-06-14T01:44:00Z</dcterms:created>
  <dcterms:modified xsi:type="dcterms:W3CDTF">2022-06-14T01:44:00Z</dcterms:modified>
</cp:coreProperties>
</file>