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line="360" w:lineRule="auto"/>
        <w:rPr>
          <w:rFonts w:ascii="Times New Roman" w:hAnsi="黑体" w:eastAsia="黑体" w:cs="Times New Roman"/>
          <w:b/>
          <w:sz w:val="32"/>
          <w:szCs w:val="32"/>
        </w:rPr>
      </w:pPr>
      <w:r>
        <w:rPr>
          <w:rFonts w:hint="eastAsia" w:ascii="Times New Roman" w:hAnsi="黑体" w:eastAsia="黑体" w:cs="Times New Roman"/>
          <w:b/>
          <w:sz w:val="32"/>
          <w:szCs w:val="32"/>
        </w:rPr>
        <w:t>附件1</w:t>
      </w:r>
      <w:r>
        <w:rPr>
          <w:rFonts w:hint="eastAsia" w:ascii="Times New Roman" w:hAnsi="黑体" w:eastAsia="黑体" w:cs="Times New Roman"/>
          <w:b/>
          <w:sz w:val="32"/>
          <w:szCs w:val="32"/>
          <w:lang w:eastAsia="zh-CN"/>
        </w:rPr>
        <w:t>：</w:t>
      </w:r>
      <w:r>
        <w:rPr>
          <w:rFonts w:hint="eastAsia" w:ascii="Times New Roman" w:hAnsi="黑体" w:eastAsia="黑体" w:cs="Times New Roman"/>
          <w:b/>
          <w:sz w:val="32"/>
          <w:szCs w:val="32"/>
        </w:rPr>
        <w:t>上海证券交易所</w:t>
      </w:r>
      <w:r>
        <w:rPr>
          <w:rFonts w:ascii="Times New Roman" w:hAnsi="Times New Roman" w:eastAsia="黑体" w:cs="Times New Roman"/>
          <w:b/>
          <w:sz w:val="32"/>
          <w:szCs w:val="32"/>
        </w:rPr>
        <w:t>2022</w:t>
      </w:r>
      <w:r>
        <w:rPr>
          <w:rFonts w:hint="eastAsia" w:ascii="Times New Roman" w:hAnsi="黑体" w:eastAsia="黑体" w:cs="Times New Roman"/>
          <w:b/>
          <w:sz w:val="32"/>
          <w:szCs w:val="32"/>
        </w:rPr>
        <w:t>年第</w:t>
      </w:r>
      <w:r>
        <w:rPr>
          <w:rFonts w:hint="eastAsia" w:ascii="Times New Roman" w:hAnsi="黑体" w:eastAsia="黑体" w:cs="Times New Roman"/>
          <w:b/>
          <w:sz w:val="32"/>
          <w:szCs w:val="32"/>
          <w:lang w:eastAsia="zh-CN"/>
        </w:rPr>
        <w:t>五</w:t>
      </w:r>
      <w:r>
        <w:rPr>
          <w:rFonts w:hint="eastAsia" w:ascii="Times New Roman" w:hAnsi="黑体" w:eastAsia="黑体" w:cs="Times New Roman"/>
          <w:b/>
          <w:sz w:val="32"/>
          <w:szCs w:val="32"/>
        </w:rPr>
        <w:t>期董事、监事和高管初任培训课程表</w:t>
      </w:r>
    </w:p>
    <w:tbl>
      <w:tblPr>
        <w:tblStyle w:val="6"/>
        <w:tblW w:w="5416" w:type="pct"/>
        <w:jc w:val="center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4387"/>
        <w:gridCol w:w="3936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95" w:type="pct"/>
            <w:tcBorders>
              <w:top w:val="single" w:color="auto" w:sz="18" w:space="0"/>
              <w:bottom w:val="single" w:color="auto" w:sz="2" w:space="0"/>
            </w:tcBorders>
            <w:shd w:val="clear" w:color="auto" w:fill="548DD4" w:themeFill="text2" w:themeFillTint="99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2374" w:type="pct"/>
            <w:tcBorders>
              <w:top w:val="single" w:color="auto" w:sz="18" w:space="0"/>
              <w:bottom w:val="single" w:color="auto" w:sz="2" w:space="0"/>
            </w:tcBorders>
            <w:shd w:val="clear" w:color="auto" w:fill="548DD4" w:themeFill="text2" w:themeFillTint="99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主板必修课</w:t>
            </w:r>
          </w:p>
        </w:tc>
        <w:tc>
          <w:tcPr>
            <w:tcW w:w="2130" w:type="pct"/>
            <w:tcBorders>
              <w:top w:val="single" w:color="auto" w:sz="18" w:space="0"/>
              <w:bottom w:val="single" w:color="auto" w:sz="2" w:space="0"/>
            </w:tcBorders>
            <w:shd w:val="clear" w:color="auto" w:fill="548DD4" w:themeFill="text2" w:themeFillTint="99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科创板必修课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95" w:type="pct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</w:t>
            </w:r>
          </w:p>
        </w:tc>
        <w:tc>
          <w:tcPr>
            <w:tcW w:w="2374" w:type="pct"/>
            <w:tcBorders>
              <w:top w:val="single" w:color="auto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注册制背景下董监高法律责任的变化</w:t>
            </w:r>
          </w:p>
        </w:tc>
        <w:tc>
          <w:tcPr>
            <w:tcW w:w="2130" w:type="pct"/>
            <w:tcBorders>
              <w:top w:val="single" w:color="auto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注册制背景下董监高法律责任的变化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95" w:type="pct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2</w:t>
            </w:r>
          </w:p>
        </w:tc>
        <w:tc>
          <w:tcPr>
            <w:tcW w:w="2374" w:type="pct"/>
            <w:tcBorders>
              <w:top w:val="single" w:color="auto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楷体" w:hAnsi="楷体" w:eastAsia="楷体" w:cs="宋体"/>
                <w:sz w:val="24"/>
              </w:rPr>
              <w:t>上市公司治理与董监高</w:t>
            </w:r>
            <w:r>
              <w:rPr>
                <w:rFonts w:hint="eastAsia" w:ascii="楷体" w:hAnsi="楷体" w:eastAsia="楷体" w:cs="宋体"/>
                <w:sz w:val="24"/>
              </w:rPr>
              <w:t>的正当</w:t>
            </w:r>
            <w:r>
              <w:rPr>
                <w:rFonts w:ascii="楷体" w:hAnsi="楷体" w:eastAsia="楷体" w:cs="宋体"/>
                <w:sz w:val="24"/>
              </w:rPr>
              <w:t>履职</w:t>
            </w:r>
            <w:r>
              <w:rPr>
                <w:rFonts w:hint="eastAsia" w:ascii="楷体" w:hAnsi="楷体" w:eastAsia="楷体" w:cs="宋体"/>
                <w:sz w:val="24"/>
              </w:rPr>
              <w:t xml:space="preserve">   </w:t>
            </w:r>
          </w:p>
        </w:tc>
        <w:tc>
          <w:tcPr>
            <w:tcW w:w="2130" w:type="pct"/>
            <w:tcBorders>
              <w:top w:val="single" w:color="auto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楷体" w:hAnsi="楷体" w:eastAsia="楷体" w:cs="宋体"/>
                <w:sz w:val="24"/>
              </w:rPr>
              <w:t>上市公司治理与董监高</w:t>
            </w:r>
            <w:r>
              <w:rPr>
                <w:rFonts w:hint="eastAsia" w:ascii="楷体" w:hAnsi="楷体" w:eastAsia="楷体" w:cs="宋体"/>
                <w:sz w:val="24"/>
              </w:rPr>
              <w:t>的正当</w:t>
            </w:r>
            <w:r>
              <w:rPr>
                <w:rFonts w:ascii="楷体" w:hAnsi="楷体" w:eastAsia="楷体" w:cs="宋体"/>
                <w:sz w:val="24"/>
              </w:rPr>
              <w:t>履职</w:t>
            </w:r>
            <w:r>
              <w:rPr>
                <w:rFonts w:hint="eastAsia" w:ascii="楷体" w:hAnsi="楷体" w:eastAsia="楷体" w:cs="宋体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95" w:type="pct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3</w:t>
            </w:r>
          </w:p>
        </w:tc>
        <w:tc>
          <w:tcPr>
            <w:tcW w:w="2374" w:type="pct"/>
            <w:tcBorders>
              <w:top w:val="single" w:color="auto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注册制背景下最新监管形势</w:t>
            </w:r>
          </w:p>
        </w:tc>
        <w:tc>
          <w:tcPr>
            <w:tcW w:w="2130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注册制背景下最新监管形势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95" w:type="pct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4</w:t>
            </w:r>
          </w:p>
        </w:tc>
        <w:tc>
          <w:tcPr>
            <w:tcW w:w="2374" w:type="pct"/>
            <w:tcBorders>
              <w:top w:val="single" w:color="auto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 w:cs="宋体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上市公司风险成因及防范</w:t>
            </w:r>
          </w:p>
        </w:tc>
        <w:tc>
          <w:tcPr>
            <w:tcW w:w="2130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上市公司风险成因及防范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95" w:type="pct"/>
            <w:tcBorders>
              <w:top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5</w:t>
            </w:r>
          </w:p>
        </w:tc>
        <w:tc>
          <w:tcPr>
            <w:tcW w:w="2374" w:type="pct"/>
            <w:tcBorders>
              <w:top w:val="single" w:color="auto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楷体" w:hAnsi="楷体" w:eastAsia="楷体" w:cs="宋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sz w:val="24"/>
              </w:rPr>
              <w:t>董监高行政违法典型案例分析</w:t>
            </w:r>
            <w:r>
              <w:rPr>
                <w:rFonts w:hint="eastAsia" w:ascii="楷体" w:hAnsi="楷体" w:eastAsia="楷体" w:cs="宋体"/>
                <w:sz w:val="24"/>
                <w:lang w:eastAsia="zh-CN"/>
              </w:rPr>
              <w:t>（</w:t>
            </w:r>
            <w:r>
              <w:rPr>
                <w:rFonts w:hint="eastAsia" w:ascii="楷体" w:hAnsi="楷体" w:eastAsia="楷体" w:cs="宋体"/>
                <w:sz w:val="24"/>
              </w:rPr>
              <w:t>上</w:t>
            </w:r>
            <w:r>
              <w:rPr>
                <w:rFonts w:hint="eastAsia" w:ascii="楷体" w:hAnsi="楷体" w:eastAsia="楷体" w:cs="宋体"/>
                <w:sz w:val="24"/>
                <w:lang w:eastAsia="zh-CN"/>
              </w:rPr>
              <w:t>）</w:t>
            </w:r>
            <w:r>
              <w:rPr>
                <w:rFonts w:hint="eastAsia" w:ascii="楷体" w:hAnsi="楷体" w:eastAsia="楷体" w:cs="宋体"/>
                <w:sz w:val="24"/>
              </w:rPr>
              <w:t xml:space="preserve"> </w:t>
            </w:r>
          </w:p>
        </w:tc>
        <w:tc>
          <w:tcPr>
            <w:tcW w:w="2130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董监高行政违法典型案例分析</w:t>
            </w:r>
            <w:r>
              <w:rPr>
                <w:rFonts w:hint="eastAsia" w:ascii="楷体" w:hAnsi="楷体" w:eastAsia="楷体" w:cs="宋体"/>
                <w:sz w:val="24"/>
                <w:lang w:eastAsia="zh-CN"/>
              </w:rPr>
              <w:t>（</w:t>
            </w:r>
            <w:r>
              <w:rPr>
                <w:rFonts w:hint="eastAsia" w:ascii="楷体" w:hAnsi="楷体" w:eastAsia="楷体" w:cs="宋体"/>
                <w:sz w:val="24"/>
              </w:rPr>
              <w:t>上</w:t>
            </w:r>
            <w:r>
              <w:rPr>
                <w:rFonts w:hint="eastAsia" w:ascii="楷体" w:hAnsi="楷体" w:eastAsia="楷体" w:cs="宋体"/>
                <w:sz w:val="24"/>
                <w:lang w:eastAsia="zh-CN"/>
              </w:rPr>
              <w:t>）</w:t>
            </w:r>
            <w:r>
              <w:rPr>
                <w:rFonts w:hint="eastAsia" w:ascii="楷体" w:hAnsi="楷体" w:eastAsia="楷体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95" w:type="pct"/>
            <w:tcBorders>
              <w:top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6</w:t>
            </w:r>
          </w:p>
        </w:tc>
        <w:tc>
          <w:tcPr>
            <w:tcW w:w="2374" w:type="pct"/>
            <w:tcBorders>
              <w:top w:val="single" w:color="auto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 w:cs="宋体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sz w:val="24"/>
              </w:rPr>
              <w:t>董监高行政违法典型案例分析</w:t>
            </w:r>
            <w:r>
              <w:rPr>
                <w:rFonts w:hint="eastAsia" w:ascii="楷体" w:hAnsi="楷体" w:eastAsia="楷体" w:cs="宋体"/>
                <w:sz w:val="24"/>
                <w:lang w:eastAsia="zh-CN"/>
              </w:rPr>
              <w:t>（下）</w:t>
            </w:r>
          </w:p>
        </w:tc>
        <w:tc>
          <w:tcPr>
            <w:tcW w:w="2130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董监高行政违法典型案例分析</w:t>
            </w:r>
            <w:r>
              <w:rPr>
                <w:rFonts w:hint="eastAsia" w:ascii="楷体" w:hAnsi="楷体" w:eastAsia="楷体" w:cs="宋体"/>
                <w:sz w:val="24"/>
                <w:lang w:eastAsia="zh-CN"/>
              </w:rPr>
              <w:t>（下）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7</w:t>
            </w:r>
          </w:p>
        </w:tc>
        <w:tc>
          <w:tcPr>
            <w:tcW w:w="2374" w:type="pct"/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 xml:space="preserve">近期纪律处分案例   </w:t>
            </w:r>
            <w:r>
              <w:rPr>
                <w:rFonts w:hint="eastAsia" w:ascii="楷体" w:hAnsi="楷体" w:eastAsia="楷体" w:cs="宋体"/>
                <w:b/>
                <w:bCs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sz w:val="24"/>
              </w:rPr>
              <w:t xml:space="preserve">    </w:t>
            </w:r>
          </w:p>
        </w:tc>
        <w:tc>
          <w:tcPr>
            <w:tcW w:w="2130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科创板董监高纪律处分典型案例</w:t>
            </w:r>
            <w:r>
              <w:rPr>
                <w:rFonts w:ascii="楷体" w:hAnsi="楷体" w:eastAsia="楷体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8</w:t>
            </w:r>
          </w:p>
        </w:tc>
        <w:tc>
          <w:tcPr>
            <w:tcW w:w="2374" w:type="pct"/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并购重组、再融资及分拆上市介绍</w:t>
            </w:r>
          </w:p>
        </w:tc>
        <w:tc>
          <w:tcPr>
            <w:tcW w:w="2130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科创板持续监管理念与重点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5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9</w:t>
            </w:r>
          </w:p>
        </w:tc>
        <w:tc>
          <w:tcPr>
            <w:tcW w:w="2374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股权激励与员工持股</w:t>
            </w:r>
          </w:p>
        </w:tc>
        <w:tc>
          <w:tcPr>
            <w:tcW w:w="2130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科创板股权激励、再融资、并购重组等政策</w:t>
            </w:r>
            <w:r>
              <w:rPr>
                <w:rFonts w:ascii="楷体" w:hAnsi="楷体" w:eastAsia="楷体" w:cs="宋体"/>
                <w:sz w:val="24"/>
              </w:rPr>
              <w:t>特点</w:t>
            </w:r>
            <w:r>
              <w:rPr>
                <w:rFonts w:hint="eastAsia" w:ascii="楷体" w:hAnsi="楷体" w:eastAsia="楷体" w:cs="宋体"/>
                <w:sz w:val="24"/>
              </w:rPr>
              <w:t>介绍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5" w:type="pct"/>
            <w:tcBorders>
              <w:top w:val="single" w:color="auto" w:sz="4" w:space="0"/>
              <w:bottom w:val="single" w:color="auto" w:sz="2" w:space="0"/>
            </w:tcBorders>
            <w:shd w:val="clear" w:color="auto" w:fill="548DD4" w:themeFill="text2" w:themeFillTint="99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4504" w:type="pct"/>
            <w:gridSpan w:val="2"/>
            <w:tcBorders>
              <w:top w:val="single" w:color="auto" w:sz="4" w:space="0"/>
              <w:bottom w:val="single" w:color="auto" w:sz="2" w:space="0"/>
            </w:tcBorders>
            <w:shd w:val="clear" w:color="auto" w:fill="548DD4" w:themeFill="text2" w:themeFillTint="99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选修课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5" w:type="pct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</w:t>
            </w:r>
          </w:p>
        </w:tc>
        <w:tc>
          <w:tcPr>
            <w:tcW w:w="4504" w:type="pct"/>
            <w:gridSpan w:val="2"/>
            <w:tcBorders>
              <w:top w:val="single" w:color="auto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上交所债券市场概况及融资品种介绍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5" w:type="pct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2</w:t>
            </w:r>
          </w:p>
        </w:tc>
        <w:tc>
          <w:tcPr>
            <w:tcW w:w="4504" w:type="pct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上交所ETF市场概况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5" w:type="pct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3</w:t>
            </w:r>
          </w:p>
        </w:tc>
        <w:tc>
          <w:tcPr>
            <w:tcW w:w="4504" w:type="pct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持股行权角度谈投资者保护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5" w:type="pct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4</w:t>
            </w:r>
          </w:p>
        </w:tc>
        <w:tc>
          <w:tcPr>
            <w:tcW w:w="4504" w:type="pct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专精特新系列：大变局下高端制造投资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5</w:t>
            </w:r>
          </w:p>
        </w:tc>
        <w:tc>
          <w:tcPr>
            <w:tcW w:w="4504" w:type="pct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专精特新系列：新能源产业链（非汽车）投资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6</w:t>
            </w:r>
          </w:p>
        </w:tc>
        <w:tc>
          <w:tcPr>
            <w:tcW w:w="4504" w:type="pct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专精特新系列：新能源汽车产业投资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sz w:val="24"/>
              </w:rPr>
              <w:t>7</w:t>
            </w:r>
          </w:p>
        </w:tc>
        <w:tc>
          <w:tcPr>
            <w:tcW w:w="4504" w:type="pct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宋体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专精特新系列：</w:t>
            </w:r>
            <w:r>
              <w:rPr>
                <w:rFonts w:hint="eastAsia" w:ascii="楷体" w:hAnsi="楷体" w:eastAsia="楷体" w:cs="宋体"/>
                <w:sz w:val="24"/>
                <w:lang w:eastAsia="zh-CN"/>
              </w:rPr>
              <w:t>生物医药（创新医疗器械）</w:t>
            </w:r>
            <w:r>
              <w:rPr>
                <w:rFonts w:hint="eastAsia" w:ascii="楷体" w:hAnsi="楷体" w:eastAsia="楷体" w:cs="宋体"/>
                <w:sz w:val="24"/>
              </w:rPr>
              <w:t>投资</w:t>
            </w:r>
            <w:r>
              <w:rPr>
                <w:rFonts w:hint="eastAsia" w:ascii="楷体" w:hAnsi="楷体" w:eastAsia="楷体" w:cs="宋体"/>
                <w:sz w:val="24"/>
                <w:lang w:eastAsia="zh-CN"/>
              </w:rPr>
              <w:t>研究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sz w:val="24"/>
              </w:rPr>
              <w:t>8</w:t>
            </w:r>
          </w:p>
        </w:tc>
        <w:tc>
          <w:tcPr>
            <w:tcW w:w="4504" w:type="pct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宋体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专精特新系列：集成电路产业创新与发展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sz w:val="24"/>
              </w:rPr>
              <w:t>9</w:t>
            </w:r>
          </w:p>
        </w:tc>
        <w:tc>
          <w:tcPr>
            <w:tcW w:w="4504" w:type="pct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绿色金融系列：碳中和下ESG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10</w:t>
            </w:r>
          </w:p>
        </w:tc>
        <w:tc>
          <w:tcPr>
            <w:tcW w:w="4504" w:type="pct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绿色金融系列：企业碳管理实务与策略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11</w:t>
            </w:r>
          </w:p>
        </w:tc>
        <w:tc>
          <w:tcPr>
            <w:tcW w:w="4504" w:type="pct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绿色金融系列：上市公司ESG信披管理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12</w:t>
            </w:r>
          </w:p>
        </w:tc>
        <w:tc>
          <w:tcPr>
            <w:tcW w:w="4504" w:type="pct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新舆论生态下的上市公司N重压力与传播管理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楷体" w:hAnsi="楷体" w:eastAsia="楷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13</w:t>
            </w:r>
          </w:p>
        </w:tc>
        <w:tc>
          <w:tcPr>
            <w:tcW w:w="4504" w:type="pct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宋体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《公司法》专题讲解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楷体" w:hAnsi="楷体" w:eastAsia="楷体" w:cs="宋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14</w:t>
            </w:r>
          </w:p>
        </w:tc>
        <w:tc>
          <w:tcPr>
            <w:tcW w:w="4504" w:type="pct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《证券法》专题讲解</w:t>
            </w:r>
          </w:p>
        </w:tc>
      </w:tr>
    </w:tbl>
    <w:p>
      <w:pPr>
        <w:spacing w:beforeLines="5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必修课要求全部学习完成，选修课要求</w:t>
      </w:r>
      <w:r>
        <w:rPr>
          <w:rFonts w:hint="eastAsia" w:ascii="楷体" w:hAnsi="楷体" w:eastAsia="楷体" w:cs="宋体"/>
          <w:sz w:val="24"/>
          <w:lang w:eastAsia="zh-CN"/>
        </w:rPr>
        <w:t>完成</w:t>
      </w:r>
      <w:r>
        <w:rPr>
          <w:rFonts w:hint="eastAsia" w:ascii="楷体" w:hAnsi="楷体" w:eastAsia="楷体" w:cs="宋体"/>
          <w:sz w:val="24"/>
          <w:lang w:val="en-US" w:eastAsia="zh-CN"/>
        </w:rPr>
        <w:t>2门学习</w:t>
      </w:r>
      <w:r>
        <w:rPr>
          <w:rFonts w:hint="eastAsia" w:ascii="楷体" w:hAnsi="楷体" w:eastAsia="楷体" w:cs="宋体"/>
          <w:sz w:val="24"/>
        </w:rPr>
        <w:t>。</w:t>
      </w:r>
    </w:p>
    <w:sectPr>
      <w:pgSz w:w="11906" w:h="16838"/>
      <w:pgMar w:top="1021" w:right="1797" w:bottom="1077" w:left="1797" w:header="851" w:footer="992" w:gutter="0"/>
      <w:pgBorders w:offsetFrom="page">
        <w:top w:val="single" w:color="auto" w:sz="2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BE"/>
    <w:rsid w:val="00000F9A"/>
    <w:rsid w:val="00002165"/>
    <w:rsid w:val="00011344"/>
    <w:rsid w:val="000176BB"/>
    <w:rsid w:val="00024160"/>
    <w:rsid w:val="00030021"/>
    <w:rsid w:val="00035320"/>
    <w:rsid w:val="00041A6E"/>
    <w:rsid w:val="00076522"/>
    <w:rsid w:val="00087371"/>
    <w:rsid w:val="000945E1"/>
    <w:rsid w:val="000A3800"/>
    <w:rsid w:val="000B0871"/>
    <w:rsid w:val="000C7855"/>
    <w:rsid w:val="000E3ED0"/>
    <w:rsid w:val="000E6CAB"/>
    <w:rsid w:val="000F09A0"/>
    <w:rsid w:val="000F563B"/>
    <w:rsid w:val="000F5C8E"/>
    <w:rsid w:val="001010DC"/>
    <w:rsid w:val="001034C9"/>
    <w:rsid w:val="00104D34"/>
    <w:rsid w:val="00110529"/>
    <w:rsid w:val="0013687A"/>
    <w:rsid w:val="001379D4"/>
    <w:rsid w:val="00147886"/>
    <w:rsid w:val="00150DD8"/>
    <w:rsid w:val="001550B0"/>
    <w:rsid w:val="00174708"/>
    <w:rsid w:val="00181C2F"/>
    <w:rsid w:val="001A3CDA"/>
    <w:rsid w:val="001A5C69"/>
    <w:rsid w:val="001B5C55"/>
    <w:rsid w:val="001C3E05"/>
    <w:rsid w:val="001C3EA9"/>
    <w:rsid w:val="001C62E5"/>
    <w:rsid w:val="001D16FE"/>
    <w:rsid w:val="001D24D1"/>
    <w:rsid w:val="001D4042"/>
    <w:rsid w:val="001F07B0"/>
    <w:rsid w:val="001F74CC"/>
    <w:rsid w:val="00204652"/>
    <w:rsid w:val="00211949"/>
    <w:rsid w:val="002225F2"/>
    <w:rsid w:val="00263E97"/>
    <w:rsid w:val="00264198"/>
    <w:rsid w:val="0028746D"/>
    <w:rsid w:val="002932D6"/>
    <w:rsid w:val="002A0CC7"/>
    <w:rsid w:val="002B1D5E"/>
    <w:rsid w:val="002C7299"/>
    <w:rsid w:val="002D1DB2"/>
    <w:rsid w:val="002D7E4A"/>
    <w:rsid w:val="002E7499"/>
    <w:rsid w:val="002F5012"/>
    <w:rsid w:val="0030011A"/>
    <w:rsid w:val="00301230"/>
    <w:rsid w:val="00303AC0"/>
    <w:rsid w:val="0031330D"/>
    <w:rsid w:val="0032163C"/>
    <w:rsid w:val="00325E4D"/>
    <w:rsid w:val="00332E0A"/>
    <w:rsid w:val="00342C22"/>
    <w:rsid w:val="0034609D"/>
    <w:rsid w:val="00365065"/>
    <w:rsid w:val="003658F1"/>
    <w:rsid w:val="0036663D"/>
    <w:rsid w:val="00387012"/>
    <w:rsid w:val="00390148"/>
    <w:rsid w:val="003A1AB2"/>
    <w:rsid w:val="003B2BF2"/>
    <w:rsid w:val="003B465F"/>
    <w:rsid w:val="003B620C"/>
    <w:rsid w:val="003B6268"/>
    <w:rsid w:val="003B7E16"/>
    <w:rsid w:val="003C1544"/>
    <w:rsid w:val="003C1C99"/>
    <w:rsid w:val="003C3F2C"/>
    <w:rsid w:val="003C4390"/>
    <w:rsid w:val="003C56C1"/>
    <w:rsid w:val="003D7386"/>
    <w:rsid w:val="003D7CF6"/>
    <w:rsid w:val="003F40B7"/>
    <w:rsid w:val="003F414D"/>
    <w:rsid w:val="003F6BC7"/>
    <w:rsid w:val="004124A1"/>
    <w:rsid w:val="0043374C"/>
    <w:rsid w:val="004410E8"/>
    <w:rsid w:val="00443161"/>
    <w:rsid w:val="004445E2"/>
    <w:rsid w:val="004553D1"/>
    <w:rsid w:val="00466F41"/>
    <w:rsid w:val="00475164"/>
    <w:rsid w:val="004751FD"/>
    <w:rsid w:val="004756FE"/>
    <w:rsid w:val="0048674C"/>
    <w:rsid w:val="0048784C"/>
    <w:rsid w:val="004932F2"/>
    <w:rsid w:val="00495DBD"/>
    <w:rsid w:val="004B763D"/>
    <w:rsid w:val="004C0D73"/>
    <w:rsid w:val="004D3576"/>
    <w:rsid w:val="004F3896"/>
    <w:rsid w:val="004F3982"/>
    <w:rsid w:val="004F5387"/>
    <w:rsid w:val="005066BD"/>
    <w:rsid w:val="00550DBF"/>
    <w:rsid w:val="0055152C"/>
    <w:rsid w:val="00563EBF"/>
    <w:rsid w:val="00564149"/>
    <w:rsid w:val="00567F6C"/>
    <w:rsid w:val="0057346D"/>
    <w:rsid w:val="005905BD"/>
    <w:rsid w:val="005A4714"/>
    <w:rsid w:val="005A5FA3"/>
    <w:rsid w:val="005B2D9C"/>
    <w:rsid w:val="005D078B"/>
    <w:rsid w:val="005E22A3"/>
    <w:rsid w:val="005F6E57"/>
    <w:rsid w:val="005F78B4"/>
    <w:rsid w:val="00603343"/>
    <w:rsid w:val="0060561F"/>
    <w:rsid w:val="00612A59"/>
    <w:rsid w:val="006173C8"/>
    <w:rsid w:val="00653705"/>
    <w:rsid w:val="0065723F"/>
    <w:rsid w:val="0066373D"/>
    <w:rsid w:val="00673747"/>
    <w:rsid w:val="0069154D"/>
    <w:rsid w:val="00691A61"/>
    <w:rsid w:val="006923D6"/>
    <w:rsid w:val="006A0AA3"/>
    <w:rsid w:val="006C1665"/>
    <w:rsid w:val="006D0E2C"/>
    <w:rsid w:val="006D2DC8"/>
    <w:rsid w:val="006E68A6"/>
    <w:rsid w:val="006F1EC1"/>
    <w:rsid w:val="006F297E"/>
    <w:rsid w:val="00701352"/>
    <w:rsid w:val="00704412"/>
    <w:rsid w:val="00711ABD"/>
    <w:rsid w:val="0072468B"/>
    <w:rsid w:val="007468C1"/>
    <w:rsid w:val="00747FF4"/>
    <w:rsid w:val="00750BB8"/>
    <w:rsid w:val="00751745"/>
    <w:rsid w:val="00767450"/>
    <w:rsid w:val="00777C55"/>
    <w:rsid w:val="00780031"/>
    <w:rsid w:val="00782FA8"/>
    <w:rsid w:val="007A391C"/>
    <w:rsid w:val="007B6338"/>
    <w:rsid w:val="007C22CF"/>
    <w:rsid w:val="007D632B"/>
    <w:rsid w:val="007D73F0"/>
    <w:rsid w:val="007F6AB9"/>
    <w:rsid w:val="008227D4"/>
    <w:rsid w:val="008238A2"/>
    <w:rsid w:val="008528F9"/>
    <w:rsid w:val="008571C8"/>
    <w:rsid w:val="00866DBD"/>
    <w:rsid w:val="00876CC1"/>
    <w:rsid w:val="00880288"/>
    <w:rsid w:val="0088075E"/>
    <w:rsid w:val="00882515"/>
    <w:rsid w:val="00891541"/>
    <w:rsid w:val="008A5CBE"/>
    <w:rsid w:val="008B23BF"/>
    <w:rsid w:val="008B53DC"/>
    <w:rsid w:val="008B7873"/>
    <w:rsid w:val="008C0964"/>
    <w:rsid w:val="008D29E6"/>
    <w:rsid w:val="008E3BA2"/>
    <w:rsid w:val="009032BE"/>
    <w:rsid w:val="00904232"/>
    <w:rsid w:val="00907B9E"/>
    <w:rsid w:val="009114AC"/>
    <w:rsid w:val="009165E5"/>
    <w:rsid w:val="00922541"/>
    <w:rsid w:val="00935406"/>
    <w:rsid w:val="00941D3E"/>
    <w:rsid w:val="009536A4"/>
    <w:rsid w:val="00956308"/>
    <w:rsid w:val="0096679D"/>
    <w:rsid w:val="00967EA8"/>
    <w:rsid w:val="00983D62"/>
    <w:rsid w:val="00996EF4"/>
    <w:rsid w:val="009977D0"/>
    <w:rsid w:val="009B15D5"/>
    <w:rsid w:val="009B6331"/>
    <w:rsid w:val="009C4323"/>
    <w:rsid w:val="009D131E"/>
    <w:rsid w:val="009E4315"/>
    <w:rsid w:val="009E5E7A"/>
    <w:rsid w:val="009E62D7"/>
    <w:rsid w:val="009E720D"/>
    <w:rsid w:val="009F6F5E"/>
    <w:rsid w:val="00A03251"/>
    <w:rsid w:val="00A04D95"/>
    <w:rsid w:val="00A10D06"/>
    <w:rsid w:val="00A111CB"/>
    <w:rsid w:val="00A112BF"/>
    <w:rsid w:val="00A11660"/>
    <w:rsid w:val="00A1283C"/>
    <w:rsid w:val="00A15CD1"/>
    <w:rsid w:val="00A3252B"/>
    <w:rsid w:val="00A44E49"/>
    <w:rsid w:val="00A61C7A"/>
    <w:rsid w:val="00A8071D"/>
    <w:rsid w:val="00AA5429"/>
    <w:rsid w:val="00AA7167"/>
    <w:rsid w:val="00AA7AA8"/>
    <w:rsid w:val="00AB6B57"/>
    <w:rsid w:val="00AE50CA"/>
    <w:rsid w:val="00AF667F"/>
    <w:rsid w:val="00B032D8"/>
    <w:rsid w:val="00B052A4"/>
    <w:rsid w:val="00B05990"/>
    <w:rsid w:val="00B2566C"/>
    <w:rsid w:val="00B305B8"/>
    <w:rsid w:val="00B312F4"/>
    <w:rsid w:val="00B343AD"/>
    <w:rsid w:val="00B34D18"/>
    <w:rsid w:val="00B564DD"/>
    <w:rsid w:val="00B64544"/>
    <w:rsid w:val="00B6558E"/>
    <w:rsid w:val="00B7070A"/>
    <w:rsid w:val="00B71BDC"/>
    <w:rsid w:val="00B76662"/>
    <w:rsid w:val="00B77F31"/>
    <w:rsid w:val="00BA1096"/>
    <w:rsid w:val="00BA7429"/>
    <w:rsid w:val="00BB51C2"/>
    <w:rsid w:val="00BC4137"/>
    <w:rsid w:val="00BD4308"/>
    <w:rsid w:val="00BE0E04"/>
    <w:rsid w:val="00BE7F38"/>
    <w:rsid w:val="00BF5609"/>
    <w:rsid w:val="00C01947"/>
    <w:rsid w:val="00C13FD2"/>
    <w:rsid w:val="00C145F6"/>
    <w:rsid w:val="00C305CE"/>
    <w:rsid w:val="00C316CB"/>
    <w:rsid w:val="00C429C3"/>
    <w:rsid w:val="00C46E83"/>
    <w:rsid w:val="00C509B2"/>
    <w:rsid w:val="00C5456A"/>
    <w:rsid w:val="00C56BE0"/>
    <w:rsid w:val="00C6295E"/>
    <w:rsid w:val="00C62F19"/>
    <w:rsid w:val="00C64E99"/>
    <w:rsid w:val="00C747D0"/>
    <w:rsid w:val="00C908A6"/>
    <w:rsid w:val="00C92977"/>
    <w:rsid w:val="00C96AA0"/>
    <w:rsid w:val="00CA2E61"/>
    <w:rsid w:val="00CA4A34"/>
    <w:rsid w:val="00CA5510"/>
    <w:rsid w:val="00CA589F"/>
    <w:rsid w:val="00CB1374"/>
    <w:rsid w:val="00CD591B"/>
    <w:rsid w:val="00CE7FB1"/>
    <w:rsid w:val="00D01E23"/>
    <w:rsid w:val="00D05FFF"/>
    <w:rsid w:val="00D179E0"/>
    <w:rsid w:val="00D3141A"/>
    <w:rsid w:val="00D34FFB"/>
    <w:rsid w:val="00D46883"/>
    <w:rsid w:val="00D53AEB"/>
    <w:rsid w:val="00D54317"/>
    <w:rsid w:val="00D568C3"/>
    <w:rsid w:val="00D60351"/>
    <w:rsid w:val="00D75361"/>
    <w:rsid w:val="00D8192B"/>
    <w:rsid w:val="00DA0307"/>
    <w:rsid w:val="00DA3E2F"/>
    <w:rsid w:val="00DB6F04"/>
    <w:rsid w:val="00DC2045"/>
    <w:rsid w:val="00DC3C63"/>
    <w:rsid w:val="00DC56C4"/>
    <w:rsid w:val="00DC5CAD"/>
    <w:rsid w:val="00DD1821"/>
    <w:rsid w:val="00DD4053"/>
    <w:rsid w:val="00DD4AA0"/>
    <w:rsid w:val="00DD6048"/>
    <w:rsid w:val="00DE2DE8"/>
    <w:rsid w:val="00DF0E6A"/>
    <w:rsid w:val="00DF59ED"/>
    <w:rsid w:val="00E00086"/>
    <w:rsid w:val="00E0015F"/>
    <w:rsid w:val="00E0619A"/>
    <w:rsid w:val="00E11829"/>
    <w:rsid w:val="00E12C56"/>
    <w:rsid w:val="00E22D71"/>
    <w:rsid w:val="00E248D1"/>
    <w:rsid w:val="00E44C6C"/>
    <w:rsid w:val="00E47F40"/>
    <w:rsid w:val="00E51BE4"/>
    <w:rsid w:val="00E5560D"/>
    <w:rsid w:val="00E64B68"/>
    <w:rsid w:val="00E74740"/>
    <w:rsid w:val="00E94ADF"/>
    <w:rsid w:val="00EA6DAD"/>
    <w:rsid w:val="00EB037B"/>
    <w:rsid w:val="00ED40AC"/>
    <w:rsid w:val="00EE16B0"/>
    <w:rsid w:val="00EE7443"/>
    <w:rsid w:val="00F004E0"/>
    <w:rsid w:val="00F01BBB"/>
    <w:rsid w:val="00F050D1"/>
    <w:rsid w:val="00F05CCD"/>
    <w:rsid w:val="00F061EA"/>
    <w:rsid w:val="00F20F47"/>
    <w:rsid w:val="00F3626B"/>
    <w:rsid w:val="00F5481A"/>
    <w:rsid w:val="00F620CD"/>
    <w:rsid w:val="00F733C8"/>
    <w:rsid w:val="00F73D49"/>
    <w:rsid w:val="00F80056"/>
    <w:rsid w:val="00FA0723"/>
    <w:rsid w:val="00FA1CFF"/>
    <w:rsid w:val="00FA2295"/>
    <w:rsid w:val="00FB31C3"/>
    <w:rsid w:val="00FC2DB7"/>
    <w:rsid w:val="00FD6B83"/>
    <w:rsid w:val="00FE5333"/>
    <w:rsid w:val="01251596"/>
    <w:rsid w:val="02836197"/>
    <w:rsid w:val="0A1754A0"/>
    <w:rsid w:val="0A6C3C9D"/>
    <w:rsid w:val="0AF95183"/>
    <w:rsid w:val="0BE43AC8"/>
    <w:rsid w:val="0CFD260D"/>
    <w:rsid w:val="0E564AC8"/>
    <w:rsid w:val="0F114BA4"/>
    <w:rsid w:val="11480BAD"/>
    <w:rsid w:val="12E71489"/>
    <w:rsid w:val="13C54A6F"/>
    <w:rsid w:val="14F82049"/>
    <w:rsid w:val="174120FE"/>
    <w:rsid w:val="18671B1C"/>
    <w:rsid w:val="199B2047"/>
    <w:rsid w:val="19CA0441"/>
    <w:rsid w:val="1A853241"/>
    <w:rsid w:val="1B18474D"/>
    <w:rsid w:val="1B580496"/>
    <w:rsid w:val="1C1D3F24"/>
    <w:rsid w:val="21D64DE8"/>
    <w:rsid w:val="22296E6A"/>
    <w:rsid w:val="261338F0"/>
    <w:rsid w:val="275C26AC"/>
    <w:rsid w:val="293634F1"/>
    <w:rsid w:val="293729E6"/>
    <w:rsid w:val="2FF963E6"/>
    <w:rsid w:val="315D156C"/>
    <w:rsid w:val="3229067A"/>
    <w:rsid w:val="349B61EE"/>
    <w:rsid w:val="3CFC121C"/>
    <w:rsid w:val="3E540001"/>
    <w:rsid w:val="3EB02315"/>
    <w:rsid w:val="3F875DF2"/>
    <w:rsid w:val="41562542"/>
    <w:rsid w:val="41ED75D5"/>
    <w:rsid w:val="42536F6A"/>
    <w:rsid w:val="44071968"/>
    <w:rsid w:val="443C0A43"/>
    <w:rsid w:val="4511254B"/>
    <w:rsid w:val="463726B6"/>
    <w:rsid w:val="46416A7F"/>
    <w:rsid w:val="46DF3F5F"/>
    <w:rsid w:val="497C0607"/>
    <w:rsid w:val="4C5374CB"/>
    <w:rsid w:val="4DF37DB3"/>
    <w:rsid w:val="4E2A0458"/>
    <w:rsid w:val="537C091E"/>
    <w:rsid w:val="545B3DC9"/>
    <w:rsid w:val="56CB5ED0"/>
    <w:rsid w:val="57FC1301"/>
    <w:rsid w:val="58247FD5"/>
    <w:rsid w:val="582D2E08"/>
    <w:rsid w:val="5A0D47BB"/>
    <w:rsid w:val="5CA21B2E"/>
    <w:rsid w:val="5E0C0FF7"/>
    <w:rsid w:val="5FD91BA4"/>
    <w:rsid w:val="63DE4084"/>
    <w:rsid w:val="64010ADB"/>
    <w:rsid w:val="641822C6"/>
    <w:rsid w:val="6620226E"/>
    <w:rsid w:val="66C44636"/>
    <w:rsid w:val="699D7257"/>
    <w:rsid w:val="6D1B4B52"/>
    <w:rsid w:val="6E023F78"/>
    <w:rsid w:val="6FC31EC8"/>
    <w:rsid w:val="70623658"/>
    <w:rsid w:val="71BC35CE"/>
    <w:rsid w:val="74965265"/>
    <w:rsid w:val="79D72DB9"/>
    <w:rsid w:val="7E67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标题 5 Char"/>
    <w:basedOn w:val="7"/>
    <w:link w:val="2"/>
    <w:qFormat/>
    <w:uiPriority w:val="9"/>
    <w:rPr>
      <w:rFonts w:ascii="宋体" w:hAnsi="宋体" w:cs="宋体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85</Words>
  <Characters>485</Characters>
  <Lines>4</Lines>
  <Paragraphs>1</Paragraphs>
  <TotalTime>1</TotalTime>
  <ScaleCrop>false</ScaleCrop>
  <LinksUpToDate>false</LinksUpToDate>
  <CharactersWithSpaces>569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2022-07-15T03:02:00Z</dcterms:created>
  <dc:creator>dsware</dc:creator>
  <cp:lastModifiedBy>tytang</cp:lastModifiedBy>
  <cp:lastPrinted>2022-08-18T01:20:39Z</cp:lastPrinted>
  <dcterms:modified xsi:type="dcterms:W3CDTF">2022-08-18T01:47:36Z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8966C4A1C1C045F9BF546F5AFF72EFEA</vt:lpwstr>
  </property>
</Properties>
</file>