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FF0000"/>
          <w:kern w:val="0"/>
          <w:sz w:val="32"/>
          <w:szCs w:val="32"/>
          <w:lang w:val="en-US" w:eastAsia="zh-CN"/>
        </w:rPr>
        <w:t>2022年第5期主板独立董事后续培训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课程表</w:t>
      </w:r>
    </w:p>
    <w:p>
      <w:pPr>
        <w:adjustRightInd w:val="0"/>
        <w:snapToGrid w:val="0"/>
        <w:ind w:firstLine="482" w:firstLineChars="200"/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请自行安排时间，于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日至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日期间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完成全部课程的学习，课程24小时开放。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9848" w:type="dxa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2638"/>
        <w:gridCol w:w="1256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hint="eastAsia" w:ascii="楷体" w:hAnsi="楷体" w:eastAsia="楷体" w:cs="宋体"/>
                <w:b/>
                <w:bCs/>
                <w:color w:val="FFFFFF" w:themeColor="background1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  <w:lang w:val="en-US" w:eastAsia="zh-CN"/>
              </w:rPr>
              <w:t>课程名称</w:t>
            </w:r>
          </w:p>
        </w:tc>
        <w:tc>
          <w:tcPr>
            <w:tcW w:w="2638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/>
                <w:bCs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授课师资</w:t>
            </w:r>
          </w:p>
        </w:tc>
        <w:tc>
          <w:tcPr>
            <w:tcW w:w="1256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hint="eastAsia" w:cs="宋体" w:eastAsiaTheme="minorEastAsia"/>
                <w:b/>
                <w:bCs/>
                <w:color w:val="FFFFFF"/>
                <w:sz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上市公司信息披露监管与独立董事规范履职                           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新形势下独董法律责任变化 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上市公司重大资产重组信息披露要点讲解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纪律处分典型案例分析 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退市新规解读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刑法修正案解读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</w:t>
            </w:r>
            <w:r>
              <w:rPr>
                <w:rFonts w:ascii="楷体" w:hAnsi="楷体" w:eastAsia="楷体" w:cs="宋体"/>
                <w:sz w:val="24"/>
              </w:rPr>
              <w:t>员工持股计划与股权激励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再融资政策解析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25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上市公司会计问题研究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张宇</w:t>
            </w:r>
            <w:bookmarkStart w:id="0" w:name="_GoBack"/>
            <w:bookmarkEnd w:id="0"/>
          </w:p>
        </w:tc>
        <w:tc>
          <w:tcPr>
            <w:tcW w:w="125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选修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上市公司财务舞弊案例分析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黄锋</w:t>
            </w:r>
          </w:p>
        </w:tc>
        <w:tc>
          <w:tcPr>
            <w:tcW w:w="125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选修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《上市公司独立董事规则》解析-怎样做一个合格的上市公司独立董事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刘运宏</w:t>
            </w:r>
          </w:p>
        </w:tc>
        <w:tc>
          <w:tcPr>
            <w:tcW w:w="125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选修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24C02847"/>
    <w:rsid w:val="28481414"/>
    <w:rsid w:val="33011605"/>
    <w:rsid w:val="38061D32"/>
    <w:rsid w:val="3D616442"/>
    <w:rsid w:val="3E2452BD"/>
    <w:rsid w:val="408C7260"/>
    <w:rsid w:val="4E80635B"/>
    <w:rsid w:val="4F4E17A3"/>
    <w:rsid w:val="51CF0D8E"/>
    <w:rsid w:val="53FD448D"/>
    <w:rsid w:val="56923BE0"/>
    <w:rsid w:val="57482A7B"/>
    <w:rsid w:val="5CB037F8"/>
    <w:rsid w:val="6F7E3105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8B20A-A2C9-496A-BB74-1515AFBFF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78</Words>
  <Characters>86</Characters>
  <Lines>3</Lines>
  <Paragraphs>1</Paragraphs>
  <TotalTime>1</TotalTime>
  <ScaleCrop>false</ScaleCrop>
  <LinksUpToDate>false</LinksUpToDate>
  <CharactersWithSpaces>86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2022-04-08T03:12:00Z</dcterms:created>
  <dc:creator>sse</dc:creator>
  <cp:lastModifiedBy>taozhao</cp:lastModifiedBy>
  <cp:lastPrinted>2022-02-17T01:03:00Z</cp:lastPrinted>
  <dcterms:modified xsi:type="dcterms:W3CDTF">2022-12-02T03:05:40Z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BFCDF50E85784FC890F3698AE2A2E8C7</vt:lpwstr>
  </property>
</Properties>
</file>