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auto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附件1</w:t>
      </w: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：</w:t>
      </w:r>
      <w:r>
        <w:rPr>
          <w:rFonts w:hint="eastAsia" w:ascii="黑体" w:hAnsi="黑体" w:eastAsia="黑体" w:cs="黑体"/>
          <w:b/>
          <w:sz w:val="30"/>
          <w:szCs w:val="30"/>
        </w:rPr>
        <w:t>上海证券交易所202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0"/>
          <w:szCs w:val="30"/>
        </w:rPr>
        <w:t>年第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0"/>
          <w:szCs w:val="30"/>
        </w:rPr>
        <w:t>期董事、监事和高管初任培训课程表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必修课要求完成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0"/>
          <w:szCs w:val="30"/>
        </w:rPr>
        <w:t>全部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0"/>
          <w:szCs w:val="30"/>
          <w:lang w:eastAsia="zh-CN"/>
        </w:rPr>
        <w:t>课程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，选修课要求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0"/>
          <w:szCs w:val="30"/>
          <w:lang w:val="en-US" w:eastAsia="zh-CN"/>
        </w:rPr>
        <w:t>2门课程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学习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。</w:t>
      </w:r>
    </w:p>
    <w:p>
      <w:pPr>
        <w:spacing w:beforeLines="50"/>
        <w:jc w:val="center"/>
        <w:rPr>
          <w:rFonts w:hint="default" w:ascii="楷体" w:hAnsi="楷体" w:eastAsia="楷体" w:cs="宋体"/>
          <w:b/>
          <w:bCs/>
          <w:sz w:val="24"/>
          <w:lang w:val="en-US" w:eastAsia="zh-CN"/>
        </w:rPr>
      </w:pPr>
      <w:r>
        <w:rPr>
          <w:rFonts w:hint="eastAsia" w:ascii="楷体" w:hAnsi="楷体" w:eastAsia="楷体" w:cs="宋体"/>
          <w:b/>
          <w:bCs/>
          <w:sz w:val="24"/>
          <w:lang w:eastAsia="zh-CN"/>
        </w:rPr>
        <w:t>表</w:t>
      </w:r>
      <w:r>
        <w:rPr>
          <w:rFonts w:hint="eastAsia" w:ascii="楷体" w:hAnsi="楷体" w:eastAsia="楷体" w:cs="宋体"/>
          <w:b/>
          <w:bCs/>
          <w:sz w:val="24"/>
          <w:lang w:val="en-US" w:eastAsia="zh-CN"/>
        </w:rPr>
        <w:t>1必修课课表</w:t>
      </w:r>
    </w:p>
    <w:tbl>
      <w:tblPr>
        <w:tblStyle w:val="6"/>
        <w:tblW w:w="5416" w:type="pct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249"/>
        <w:gridCol w:w="4075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FFFFFF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FFFFFF"/>
                <w:sz w:val="28"/>
                <w:szCs w:val="28"/>
              </w:rPr>
              <w:t>序号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FFFFFF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FFFFFF"/>
                <w:sz w:val="28"/>
                <w:szCs w:val="28"/>
              </w:rPr>
              <w:t>主板必修课</w:t>
            </w:r>
          </w:p>
        </w:tc>
        <w:tc>
          <w:tcPr>
            <w:tcW w:w="2205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FFFFFF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FFFFFF"/>
                <w:sz w:val="28"/>
                <w:szCs w:val="28"/>
              </w:rPr>
              <w:t>科创板必修课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1</w:t>
            </w:r>
          </w:p>
        </w:tc>
        <w:tc>
          <w:tcPr>
            <w:tcW w:w="2299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注册制背景下董监高法律责任的变化</w:t>
            </w:r>
          </w:p>
        </w:tc>
        <w:tc>
          <w:tcPr>
            <w:tcW w:w="2205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注册制背景下董监高法律责任的变化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2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color w:val="00000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sz w:val="24"/>
              </w:rPr>
              <w:t>上市公司治理与董监高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>的正当</w:t>
            </w:r>
            <w:r>
              <w:rPr>
                <w:rFonts w:ascii="楷体" w:hAnsi="楷体" w:eastAsia="楷体" w:cs="宋体"/>
                <w:color w:val="000000"/>
                <w:sz w:val="24"/>
              </w:rPr>
              <w:t>履职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 xml:space="preserve">   </w:t>
            </w:r>
          </w:p>
        </w:tc>
        <w:tc>
          <w:tcPr>
            <w:tcW w:w="220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color w:val="000000"/>
                <w:sz w:val="24"/>
              </w:rPr>
            </w:pPr>
            <w:r>
              <w:rPr>
                <w:rFonts w:ascii="楷体" w:hAnsi="楷体" w:eastAsia="楷体" w:cs="宋体"/>
                <w:color w:val="000000"/>
                <w:sz w:val="24"/>
              </w:rPr>
              <w:t>上市公司治理与董监高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>的正当</w:t>
            </w:r>
            <w:r>
              <w:rPr>
                <w:rFonts w:ascii="楷体" w:hAnsi="楷体" w:eastAsia="楷体" w:cs="宋体"/>
                <w:color w:val="000000"/>
                <w:sz w:val="24"/>
              </w:rPr>
              <w:t>履职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3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注册制背景下最新监管形势</w:t>
            </w:r>
          </w:p>
        </w:tc>
        <w:tc>
          <w:tcPr>
            <w:tcW w:w="220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注册制背景下最新监管形势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4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上市公司风险成因及防范</w:t>
            </w:r>
          </w:p>
        </w:tc>
        <w:tc>
          <w:tcPr>
            <w:tcW w:w="220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上市公司风险成因及防范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5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楷体" w:hAnsi="楷体" w:eastAsia="楷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董监高行政违法典型案例分析</w:t>
            </w: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>上</w:t>
            </w: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 xml:space="preserve"> </w:t>
            </w:r>
          </w:p>
        </w:tc>
        <w:tc>
          <w:tcPr>
            <w:tcW w:w="220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董监高行政违法典型案例分析</w:t>
            </w: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>上</w:t>
            </w: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6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董监高行政违法典型案例分析</w:t>
            </w: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（下）</w:t>
            </w:r>
          </w:p>
        </w:tc>
        <w:tc>
          <w:tcPr>
            <w:tcW w:w="220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董监高行政违法典型案例分析</w:t>
            </w: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（下）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7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 xml:space="preserve">近期纪律处分案例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 xml:space="preserve">    </w:t>
            </w:r>
          </w:p>
        </w:tc>
        <w:tc>
          <w:tcPr>
            <w:tcW w:w="220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科创板董监高纪律处分典型案例</w:t>
            </w:r>
            <w:r>
              <w:rPr>
                <w:rFonts w:ascii="楷体" w:hAnsi="楷体" w:eastAsia="楷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8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并购重组、再融资及分拆上市介绍</w:t>
            </w:r>
          </w:p>
        </w:tc>
        <w:tc>
          <w:tcPr>
            <w:tcW w:w="220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科创板持续监管理念与重点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nil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9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nil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股权激励与员工持股</w:t>
            </w:r>
          </w:p>
        </w:tc>
        <w:tc>
          <w:tcPr>
            <w:tcW w:w="2205" w:type="pct"/>
            <w:tcBorders>
              <w:top w:val="single" w:color="4F81BD" w:sz="8" w:space="0"/>
              <w:left w:val="single" w:color="4F81BD" w:sz="8" w:space="0"/>
              <w:bottom w:val="nil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科创板股权激励、再融资、并购重组等政策</w:t>
            </w:r>
            <w:r>
              <w:rPr>
                <w:rFonts w:ascii="楷体" w:hAnsi="楷体" w:eastAsia="楷体" w:cs="宋体"/>
                <w:color w:val="000000"/>
                <w:sz w:val="24"/>
              </w:rPr>
              <w:t>特点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>介绍</w:t>
            </w:r>
          </w:p>
        </w:tc>
      </w:tr>
    </w:tbl>
    <w:p>
      <w:pPr>
        <w:spacing w:beforeLines="50"/>
        <w:rPr>
          <w:rFonts w:hint="eastAsia" w:ascii="楷体" w:hAnsi="楷体" w:eastAsia="楷体" w:cs="宋体"/>
          <w:b/>
          <w:bCs/>
          <w:sz w:val="24"/>
          <w:lang w:eastAsia="zh-CN"/>
        </w:rPr>
      </w:pPr>
    </w:p>
    <w:p>
      <w:pPr>
        <w:spacing w:beforeLines="50"/>
        <w:jc w:val="center"/>
        <w:rPr>
          <w:rFonts w:hint="default" w:ascii="楷体" w:hAnsi="楷体" w:eastAsia="楷体" w:cs="宋体"/>
          <w:b/>
          <w:bCs/>
          <w:sz w:val="24"/>
          <w:lang w:val="en-US" w:eastAsia="zh-CN"/>
        </w:rPr>
      </w:pPr>
      <w:r>
        <w:rPr>
          <w:rFonts w:hint="eastAsia" w:ascii="楷体" w:hAnsi="楷体" w:eastAsia="楷体" w:cs="宋体"/>
          <w:b/>
          <w:bCs/>
          <w:sz w:val="24"/>
          <w:lang w:eastAsia="zh-CN"/>
        </w:rPr>
        <w:t>表</w:t>
      </w:r>
      <w:r>
        <w:rPr>
          <w:rFonts w:hint="eastAsia" w:ascii="楷体" w:hAnsi="楷体" w:eastAsia="楷体" w:cs="宋体"/>
          <w:b/>
          <w:bCs/>
          <w:sz w:val="24"/>
          <w:lang w:val="en-US" w:eastAsia="zh-CN"/>
        </w:rPr>
        <w:t>2选修课课表</w:t>
      </w:r>
      <w:bookmarkStart w:id="0" w:name="_GoBack"/>
      <w:bookmarkEnd w:id="0"/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341"/>
        <w:gridCol w:w="6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000000" w:fill="4F81B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86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000000" w:fill="4F81B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课程类型</w:t>
            </w: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000000" w:fill="4F81B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选修课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6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pct"/>
            <w:vMerge w:val="restar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政策法规及工具解读</w:t>
            </w:r>
          </w:p>
        </w:tc>
        <w:tc>
          <w:tcPr>
            <w:tcW w:w="3756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上交所债券市场概况及融资品种介绍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上交所ETF市场概况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《公司法》专题讲解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《证券法》专题讲解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6" w:type="pct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国家战略与行业发展</w:t>
            </w: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绿色金融系列：绿色发展理念与绿色发展基金投资实践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绿色金融系列：企业碳管理实务与策略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绿色金融系列：ESG与风险管理综合实践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专精特新系列：集成电路产业创新与发展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专精特新系列：新能源产业链（非汽车）投资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专精特新系列：新能源汽车产业投资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专精特新系列：生物医药（创新医疗器械）投资研究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专精特新系列：大变局下高端制造投资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86" w:type="pct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公司治理与企业管理</w:t>
            </w: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持股行权角度谈投资者保护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新舆论生态下的上市公司N重压力与传播管理</w:t>
            </w:r>
          </w:p>
        </w:tc>
      </w:tr>
    </w:tbl>
    <w:p>
      <w:pPr>
        <w:spacing w:beforeLines="50"/>
        <w:rPr>
          <w:rFonts w:hint="eastAsia" w:ascii="楷体" w:hAnsi="楷体" w:eastAsia="楷体" w:cs="宋体"/>
          <w:b/>
          <w:bCs/>
          <w:sz w:val="24"/>
        </w:rPr>
      </w:pPr>
    </w:p>
    <w:sectPr>
      <w:pgSz w:w="11906" w:h="16838"/>
      <w:pgMar w:top="907" w:right="1797" w:bottom="850" w:left="1797" w:header="851" w:footer="992" w:gutter="0"/>
      <w:pgBorders w:offsetFrom="page">
        <w:top w:val="single" w:color="auto" w:sz="2" w:space="24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BE"/>
    <w:rsid w:val="00000F9A"/>
    <w:rsid w:val="00002165"/>
    <w:rsid w:val="00011344"/>
    <w:rsid w:val="000176BB"/>
    <w:rsid w:val="00024160"/>
    <w:rsid w:val="00030021"/>
    <w:rsid w:val="00035320"/>
    <w:rsid w:val="00041A6E"/>
    <w:rsid w:val="00076522"/>
    <w:rsid w:val="00087371"/>
    <w:rsid w:val="000945E1"/>
    <w:rsid w:val="000A3800"/>
    <w:rsid w:val="000B0871"/>
    <w:rsid w:val="000C7855"/>
    <w:rsid w:val="000E3ED0"/>
    <w:rsid w:val="000E6CAB"/>
    <w:rsid w:val="000F09A0"/>
    <w:rsid w:val="000F563B"/>
    <w:rsid w:val="000F5C8E"/>
    <w:rsid w:val="001010DC"/>
    <w:rsid w:val="001034C9"/>
    <w:rsid w:val="00104D34"/>
    <w:rsid w:val="00110529"/>
    <w:rsid w:val="0013687A"/>
    <w:rsid w:val="001379D4"/>
    <w:rsid w:val="00147886"/>
    <w:rsid w:val="00150DD8"/>
    <w:rsid w:val="001550B0"/>
    <w:rsid w:val="00174708"/>
    <w:rsid w:val="00181C2F"/>
    <w:rsid w:val="001A3CDA"/>
    <w:rsid w:val="001A5C69"/>
    <w:rsid w:val="001B5C55"/>
    <w:rsid w:val="001C3E05"/>
    <w:rsid w:val="001C3EA9"/>
    <w:rsid w:val="001C62E5"/>
    <w:rsid w:val="001D16FE"/>
    <w:rsid w:val="001D24D1"/>
    <w:rsid w:val="001D4042"/>
    <w:rsid w:val="001F07B0"/>
    <w:rsid w:val="001F74CC"/>
    <w:rsid w:val="00204652"/>
    <w:rsid w:val="00211949"/>
    <w:rsid w:val="002225F2"/>
    <w:rsid w:val="00263E97"/>
    <w:rsid w:val="00264198"/>
    <w:rsid w:val="0028746D"/>
    <w:rsid w:val="002932D6"/>
    <w:rsid w:val="002A0CC7"/>
    <w:rsid w:val="002B1D5E"/>
    <w:rsid w:val="002C7299"/>
    <w:rsid w:val="002D1DB2"/>
    <w:rsid w:val="002D7E4A"/>
    <w:rsid w:val="002E7499"/>
    <w:rsid w:val="002F5012"/>
    <w:rsid w:val="0030011A"/>
    <w:rsid w:val="00301230"/>
    <w:rsid w:val="00303AC0"/>
    <w:rsid w:val="0031330D"/>
    <w:rsid w:val="0032163C"/>
    <w:rsid w:val="00325E4D"/>
    <w:rsid w:val="00332E0A"/>
    <w:rsid w:val="00342C22"/>
    <w:rsid w:val="0034609D"/>
    <w:rsid w:val="00365065"/>
    <w:rsid w:val="003658F1"/>
    <w:rsid w:val="0036663D"/>
    <w:rsid w:val="00387012"/>
    <w:rsid w:val="00390148"/>
    <w:rsid w:val="003A1AB2"/>
    <w:rsid w:val="003B2BF2"/>
    <w:rsid w:val="003B465F"/>
    <w:rsid w:val="003B620C"/>
    <w:rsid w:val="003B6268"/>
    <w:rsid w:val="003B7E16"/>
    <w:rsid w:val="003C1544"/>
    <w:rsid w:val="003C1C99"/>
    <w:rsid w:val="003C3F2C"/>
    <w:rsid w:val="003C4390"/>
    <w:rsid w:val="003C56C1"/>
    <w:rsid w:val="003D7386"/>
    <w:rsid w:val="003D7CF6"/>
    <w:rsid w:val="003F40B7"/>
    <w:rsid w:val="003F414D"/>
    <w:rsid w:val="003F6BC7"/>
    <w:rsid w:val="004124A1"/>
    <w:rsid w:val="0043374C"/>
    <w:rsid w:val="004410E8"/>
    <w:rsid w:val="00443161"/>
    <w:rsid w:val="004445E2"/>
    <w:rsid w:val="004553D1"/>
    <w:rsid w:val="00466F41"/>
    <w:rsid w:val="00475164"/>
    <w:rsid w:val="004751FD"/>
    <w:rsid w:val="004756FE"/>
    <w:rsid w:val="0048674C"/>
    <w:rsid w:val="0048784C"/>
    <w:rsid w:val="004932F2"/>
    <w:rsid w:val="00495DBD"/>
    <w:rsid w:val="004B763D"/>
    <w:rsid w:val="004C0D73"/>
    <w:rsid w:val="004D3576"/>
    <w:rsid w:val="004F3896"/>
    <w:rsid w:val="004F3982"/>
    <w:rsid w:val="004F5387"/>
    <w:rsid w:val="005066BD"/>
    <w:rsid w:val="00550DBF"/>
    <w:rsid w:val="0055152C"/>
    <w:rsid w:val="00563EBF"/>
    <w:rsid w:val="00564149"/>
    <w:rsid w:val="00567F6C"/>
    <w:rsid w:val="0057346D"/>
    <w:rsid w:val="005905BD"/>
    <w:rsid w:val="005A4714"/>
    <w:rsid w:val="005A5FA3"/>
    <w:rsid w:val="005B2D9C"/>
    <w:rsid w:val="005D078B"/>
    <w:rsid w:val="005E22A3"/>
    <w:rsid w:val="005F6E57"/>
    <w:rsid w:val="005F78B4"/>
    <w:rsid w:val="00603343"/>
    <w:rsid w:val="0060561F"/>
    <w:rsid w:val="00612A59"/>
    <w:rsid w:val="006173C8"/>
    <w:rsid w:val="00653705"/>
    <w:rsid w:val="0065723F"/>
    <w:rsid w:val="0066373D"/>
    <w:rsid w:val="00673747"/>
    <w:rsid w:val="0069154D"/>
    <w:rsid w:val="00691A61"/>
    <w:rsid w:val="006923D6"/>
    <w:rsid w:val="006A0AA3"/>
    <w:rsid w:val="006C1665"/>
    <w:rsid w:val="006D0E2C"/>
    <w:rsid w:val="006D2DC8"/>
    <w:rsid w:val="006E68A6"/>
    <w:rsid w:val="006F1EC1"/>
    <w:rsid w:val="006F297E"/>
    <w:rsid w:val="00701352"/>
    <w:rsid w:val="00704412"/>
    <w:rsid w:val="00711ABD"/>
    <w:rsid w:val="0072468B"/>
    <w:rsid w:val="007468C1"/>
    <w:rsid w:val="00747FF4"/>
    <w:rsid w:val="00750BB8"/>
    <w:rsid w:val="00751745"/>
    <w:rsid w:val="00767450"/>
    <w:rsid w:val="00777C55"/>
    <w:rsid w:val="00780031"/>
    <w:rsid w:val="00782FA8"/>
    <w:rsid w:val="007A391C"/>
    <w:rsid w:val="007B6338"/>
    <w:rsid w:val="007C22CF"/>
    <w:rsid w:val="007D632B"/>
    <w:rsid w:val="007D73F0"/>
    <w:rsid w:val="007F6AB9"/>
    <w:rsid w:val="008227D4"/>
    <w:rsid w:val="008238A2"/>
    <w:rsid w:val="008528F9"/>
    <w:rsid w:val="008571C8"/>
    <w:rsid w:val="00866DBD"/>
    <w:rsid w:val="00876CC1"/>
    <w:rsid w:val="00880288"/>
    <w:rsid w:val="0088075E"/>
    <w:rsid w:val="00882515"/>
    <w:rsid w:val="00891541"/>
    <w:rsid w:val="008A5CBE"/>
    <w:rsid w:val="008B23BF"/>
    <w:rsid w:val="008B53DC"/>
    <w:rsid w:val="008B7873"/>
    <w:rsid w:val="008C0964"/>
    <w:rsid w:val="008D29E6"/>
    <w:rsid w:val="008E3BA2"/>
    <w:rsid w:val="009032BE"/>
    <w:rsid w:val="00904232"/>
    <w:rsid w:val="00907B9E"/>
    <w:rsid w:val="009114AC"/>
    <w:rsid w:val="009165E5"/>
    <w:rsid w:val="00922541"/>
    <w:rsid w:val="00935406"/>
    <w:rsid w:val="00941D3E"/>
    <w:rsid w:val="009536A4"/>
    <w:rsid w:val="00956308"/>
    <w:rsid w:val="0096679D"/>
    <w:rsid w:val="00967EA8"/>
    <w:rsid w:val="00983D62"/>
    <w:rsid w:val="00996EF4"/>
    <w:rsid w:val="009977D0"/>
    <w:rsid w:val="009B15D5"/>
    <w:rsid w:val="009B6331"/>
    <w:rsid w:val="009C4323"/>
    <w:rsid w:val="009D131E"/>
    <w:rsid w:val="009E4315"/>
    <w:rsid w:val="009E5E7A"/>
    <w:rsid w:val="009E62D7"/>
    <w:rsid w:val="009E720D"/>
    <w:rsid w:val="009F6F5E"/>
    <w:rsid w:val="00A03251"/>
    <w:rsid w:val="00A04D95"/>
    <w:rsid w:val="00A10D06"/>
    <w:rsid w:val="00A111CB"/>
    <w:rsid w:val="00A112BF"/>
    <w:rsid w:val="00A11660"/>
    <w:rsid w:val="00A1283C"/>
    <w:rsid w:val="00A15CD1"/>
    <w:rsid w:val="00A3252B"/>
    <w:rsid w:val="00A44E49"/>
    <w:rsid w:val="00A61C7A"/>
    <w:rsid w:val="00A8071D"/>
    <w:rsid w:val="00AA5429"/>
    <w:rsid w:val="00AA7167"/>
    <w:rsid w:val="00AA7AA8"/>
    <w:rsid w:val="00AB6B57"/>
    <w:rsid w:val="00AE50CA"/>
    <w:rsid w:val="00AF667F"/>
    <w:rsid w:val="00B032D8"/>
    <w:rsid w:val="00B052A4"/>
    <w:rsid w:val="00B05990"/>
    <w:rsid w:val="00B2566C"/>
    <w:rsid w:val="00B305B8"/>
    <w:rsid w:val="00B312F4"/>
    <w:rsid w:val="00B343AD"/>
    <w:rsid w:val="00B34D18"/>
    <w:rsid w:val="00B564DD"/>
    <w:rsid w:val="00B64544"/>
    <w:rsid w:val="00B6558E"/>
    <w:rsid w:val="00B7070A"/>
    <w:rsid w:val="00B71BDC"/>
    <w:rsid w:val="00B76662"/>
    <w:rsid w:val="00B77F31"/>
    <w:rsid w:val="00BA1096"/>
    <w:rsid w:val="00BA7429"/>
    <w:rsid w:val="00BB51C2"/>
    <w:rsid w:val="00BC4137"/>
    <w:rsid w:val="00BD4308"/>
    <w:rsid w:val="00BE0E04"/>
    <w:rsid w:val="00BE7F38"/>
    <w:rsid w:val="00BF5609"/>
    <w:rsid w:val="00C01947"/>
    <w:rsid w:val="00C13FD2"/>
    <w:rsid w:val="00C145F6"/>
    <w:rsid w:val="00C305CE"/>
    <w:rsid w:val="00C316CB"/>
    <w:rsid w:val="00C429C3"/>
    <w:rsid w:val="00C46E83"/>
    <w:rsid w:val="00C509B2"/>
    <w:rsid w:val="00C5456A"/>
    <w:rsid w:val="00C56BE0"/>
    <w:rsid w:val="00C6295E"/>
    <w:rsid w:val="00C62F19"/>
    <w:rsid w:val="00C64E99"/>
    <w:rsid w:val="00C747D0"/>
    <w:rsid w:val="00C908A6"/>
    <w:rsid w:val="00C92977"/>
    <w:rsid w:val="00C96AA0"/>
    <w:rsid w:val="00CA2E61"/>
    <w:rsid w:val="00CA4A34"/>
    <w:rsid w:val="00CA5510"/>
    <w:rsid w:val="00CA589F"/>
    <w:rsid w:val="00CB1374"/>
    <w:rsid w:val="00CD591B"/>
    <w:rsid w:val="00CE7FB1"/>
    <w:rsid w:val="00D01E23"/>
    <w:rsid w:val="00D05FFF"/>
    <w:rsid w:val="00D179E0"/>
    <w:rsid w:val="00D3141A"/>
    <w:rsid w:val="00D34FFB"/>
    <w:rsid w:val="00D46883"/>
    <w:rsid w:val="00D53AEB"/>
    <w:rsid w:val="00D54317"/>
    <w:rsid w:val="00D568C3"/>
    <w:rsid w:val="00D60351"/>
    <w:rsid w:val="00D75361"/>
    <w:rsid w:val="00D8192B"/>
    <w:rsid w:val="00DA0307"/>
    <w:rsid w:val="00DA3E2F"/>
    <w:rsid w:val="00DB6F04"/>
    <w:rsid w:val="00DC2045"/>
    <w:rsid w:val="00DC3C63"/>
    <w:rsid w:val="00DC56C4"/>
    <w:rsid w:val="00DC5CAD"/>
    <w:rsid w:val="00DD1821"/>
    <w:rsid w:val="00DD4053"/>
    <w:rsid w:val="00DD4AA0"/>
    <w:rsid w:val="00DD6048"/>
    <w:rsid w:val="00DE2DE8"/>
    <w:rsid w:val="00DF0E6A"/>
    <w:rsid w:val="00DF59ED"/>
    <w:rsid w:val="00E00086"/>
    <w:rsid w:val="00E0015F"/>
    <w:rsid w:val="00E0619A"/>
    <w:rsid w:val="00E11829"/>
    <w:rsid w:val="00E12C56"/>
    <w:rsid w:val="00E22D71"/>
    <w:rsid w:val="00E248D1"/>
    <w:rsid w:val="00E44C6C"/>
    <w:rsid w:val="00E47F40"/>
    <w:rsid w:val="00E51BE4"/>
    <w:rsid w:val="00E5560D"/>
    <w:rsid w:val="00E64B68"/>
    <w:rsid w:val="00E74740"/>
    <w:rsid w:val="00E94ADF"/>
    <w:rsid w:val="00EA6DAD"/>
    <w:rsid w:val="00EB037B"/>
    <w:rsid w:val="00ED40AC"/>
    <w:rsid w:val="00EE16B0"/>
    <w:rsid w:val="00EE7443"/>
    <w:rsid w:val="00F004E0"/>
    <w:rsid w:val="00F01BBB"/>
    <w:rsid w:val="00F050D1"/>
    <w:rsid w:val="00F05CCD"/>
    <w:rsid w:val="00F061EA"/>
    <w:rsid w:val="00F20F47"/>
    <w:rsid w:val="00F3626B"/>
    <w:rsid w:val="00F5481A"/>
    <w:rsid w:val="00F620CD"/>
    <w:rsid w:val="00F733C8"/>
    <w:rsid w:val="00F73D49"/>
    <w:rsid w:val="00F80056"/>
    <w:rsid w:val="00FA0723"/>
    <w:rsid w:val="00FA1CFF"/>
    <w:rsid w:val="00FA2295"/>
    <w:rsid w:val="00FB31C3"/>
    <w:rsid w:val="00FC2DB7"/>
    <w:rsid w:val="00FD6B83"/>
    <w:rsid w:val="00FE5333"/>
    <w:rsid w:val="01251596"/>
    <w:rsid w:val="02836197"/>
    <w:rsid w:val="0A1754A0"/>
    <w:rsid w:val="0A6C3C9D"/>
    <w:rsid w:val="0AF95183"/>
    <w:rsid w:val="0BE43AC8"/>
    <w:rsid w:val="0CFD260D"/>
    <w:rsid w:val="0E564AC8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70168"/>
    <w:rsid w:val="1B580496"/>
    <w:rsid w:val="1C1D3F24"/>
    <w:rsid w:val="21D64DE8"/>
    <w:rsid w:val="22296E6A"/>
    <w:rsid w:val="255B5B75"/>
    <w:rsid w:val="261338F0"/>
    <w:rsid w:val="275C26AC"/>
    <w:rsid w:val="293634F1"/>
    <w:rsid w:val="293729E6"/>
    <w:rsid w:val="2FF963E6"/>
    <w:rsid w:val="315D156C"/>
    <w:rsid w:val="3229067A"/>
    <w:rsid w:val="349B61EE"/>
    <w:rsid w:val="3CFC121C"/>
    <w:rsid w:val="3E540001"/>
    <w:rsid w:val="3EB02315"/>
    <w:rsid w:val="3F875DF2"/>
    <w:rsid w:val="402457B7"/>
    <w:rsid w:val="41562542"/>
    <w:rsid w:val="41ED75D5"/>
    <w:rsid w:val="42536F6A"/>
    <w:rsid w:val="44071968"/>
    <w:rsid w:val="443C0A43"/>
    <w:rsid w:val="4511254B"/>
    <w:rsid w:val="463726B6"/>
    <w:rsid w:val="46416A7F"/>
    <w:rsid w:val="46DF3F5F"/>
    <w:rsid w:val="497C0607"/>
    <w:rsid w:val="4C5374CB"/>
    <w:rsid w:val="4DF37DB3"/>
    <w:rsid w:val="4E2A0458"/>
    <w:rsid w:val="537C091E"/>
    <w:rsid w:val="545A3661"/>
    <w:rsid w:val="545B3DC9"/>
    <w:rsid w:val="54EA57D6"/>
    <w:rsid w:val="56CB5ED0"/>
    <w:rsid w:val="57FC1301"/>
    <w:rsid w:val="58247FD5"/>
    <w:rsid w:val="582D2E08"/>
    <w:rsid w:val="5A0D47BB"/>
    <w:rsid w:val="5CA21B2E"/>
    <w:rsid w:val="5E0C0FF7"/>
    <w:rsid w:val="5FD91BA4"/>
    <w:rsid w:val="63DE4084"/>
    <w:rsid w:val="64010ADB"/>
    <w:rsid w:val="641822C6"/>
    <w:rsid w:val="6620226E"/>
    <w:rsid w:val="66923263"/>
    <w:rsid w:val="66C44636"/>
    <w:rsid w:val="699D7257"/>
    <w:rsid w:val="6D1B4B52"/>
    <w:rsid w:val="6E023F78"/>
    <w:rsid w:val="6FC31EC8"/>
    <w:rsid w:val="70623658"/>
    <w:rsid w:val="71BC35CE"/>
    <w:rsid w:val="74965265"/>
    <w:rsid w:val="79D72DB9"/>
    <w:rsid w:val="7E6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5 Char"/>
    <w:basedOn w:val="7"/>
    <w:link w:val="2"/>
    <w:qFormat/>
    <w:uiPriority w:val="9"/>
    <w:rPr>
      <w:rFonts w:ascii="宋体" w:hAnsi="宋体" w:cs="宋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2022-07-15T03:02:00Z</dcterms:created>
  <dc:creator>dsware</dc:creator>
  <cp:lastModifiedBy>tytang</cp:lastModifiedBy>
  <cp:lastPrinted>2022-10-26T02:05:00Z</cp:lastPrinted>
  <dcterms:modified xsi:type="dcterms:W3CDTF">2023-01-13T06:21:23Z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8966C4A1C1C045F9BF546F5AFF72EFEA</vt:lpwstr>
  </property>
</Properties>
</file>