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360" w:lineRule="auto"/>
        <w:ind w:firstLine="301" w:firstLineChars="100"/>
        <w:jc w:val="left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附件1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：</w:t>
      </w:r>
    </w:p>
    <w:p>
      <w:pPr>
        <w:adjustRightInd w:val="0"/>
        <w:snapToGrid w:val="0"/>
        <w:spacing w:beforeLines="50" w:line="360" w:lineRule="auto"/>
        <w:ind w:firstLine="301" w:firstLineChars="100"/>
        <w:jc w:val="center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上海证券交易所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科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创板新上市公司</w:t>
      </w:r>
    </w:p>
    <w:p>
      <w:pPr>
        <w:adjustRightInd w:val="0"/>
        <w:snapToGrid w:val="0"/>
        <w:spacing w:beforeLines="50" w:line="360" w:lineRule="auto"/>
        <w:ind w:firstLine="301" w:firstLineChars="100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董办人员信息披露实务</w:t>
      </w:r>
      <w:r>
        <w:rPr>
          <w:rFonts w:hint="eastAsia" w:ascii="黑体" w:hAnsi="黑体" w:eastAsia="黑体" w:cs="黑体"/>
          <w:b/>
          <w:sz w:val="30"/>
          <w:szCs w:val="30"/>
        </w:rPr>
        <w:t>培训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班</w:t>
      </w:r>
      <w:r>
        <w:rPr>
          <w:rFonts w:hint="eastAsia" w:ascii="黑体" w:hAnsi="黑体" w:eastAsia="黑体" w:cs="黑体"/>
          <w:b/>
          <w:sz w:val="30"/>
          <w:szCs w:val="30"/>
        </w:rPr>
        <w:t>课程表</w:t>
      </w:r>
    </w:p>
    <w:p>
      <w:pPr>
        <w:adjustRightInd w:val="0"/>
        <w:snapToGrid w:val="0"/>
        <w:spacing w:beforeLines="50" w:line="360" w:lineRule="auto"/>
        <w:ind w:firstLine="301" w:firstLineChars="100"/>
        <w:jc w:val="center"/>
        <w:rPr>
          <w:rFonts w:hint="eastAsia" w:ascii="黑体" w:hAnsi="黑体" w:eastAsia="黑体" w:cs="黑体"/>
          <w:b/>
          <w:sz w:val="30"/>
          <w:szCs w:val="30"/>
        </w:rPr>
      </w:pPr>
    </w:p>
    <w:tbl>
      <w:tblPr>
        <w:tblStyle w:val="3"/>
        <w:tblW w:w="87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65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shd w:val="clear" w:color="auto" w:fill="9CC2E5" w:themeFill="accent1" w:themeFillTint="99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19" w:type="dxa"/>
            <w:shd w:val="clear" w:color="auto" w:fill="9CC2E5" w:themeFill="accent1" w:themeFillTint="99"/>
          </w:tcPr>
          <w:p>
            <w:pPr>
              <w:spacing w:line="360" w:lineRule="auto"/>
              <w:ind w:right="-153" w:rightChars="-73"/>
              <w:jc w:val="center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课程安排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  <w:vAlign w:val="center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信息披露最新监管政策解读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上市公司业务系统介绍及公告上传流程实务操作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</w:rPr>
              <w:t>科创板重点业务操作流程解析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业务操作风险防控及风险案例介绍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28"/>
                <w:szCs w:val="28"/>
              </w:rPr>
              <w:t>上交所上市公司日常公告解析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hint="eastAsia" w:ascii="楷体" w:hAnsi="楷体" w:eastAsia="楷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28"/>
                <w:szCs w:val="28"/>
              </w:rPr>
              <w:t>上交所上市公司培训体系介绍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519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28"/>
                <w:szCs w:val="28"/>
              </w:rPr>
              <w:t>上市公司网络投票、e互动等实务操作经验交流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60" w:type="dxa"/>
          </w:tcPr>
          <w:p>
            <w:pPr>
              <w:spacing w:line="360" w:lineRule="auto"/>
              <w:ind w:right="-153" w:rightChars="-73"/>
              <w:jc w:val="center"/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519" w:type="dxa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28"/>
                <w:szCs w:val="28"/>
              </w:rPr>
              <w:t>沪市权益及证券查询业务介绍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2554D"/>
    <w:rsid w:val="1722554D"/>
    <w:rsid w:val="23836F64"/>
    <w:rsid w:val="31590DD4"/>
    <w:rsid w:val="35FC052B"/>
    <w:rsid w:val="47CD1ABD"/>
    <w:rsid w:val="57C348B4"/>
    <w:rsid w:val="59DF3DA7"/>
    <w:rsid w:val="5E4059BC"/>
    <w:rsid w:val="749D2C2D"/>
    <w:rsid w:val="756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2023-03-09T08:25:00Z</dcterms:created>
  <dc:creator>tytang</dc:creator>
  <cp:lastModifiedBy>tytang</cp:lastModifiedBy>
  <dcterms:modified xsi:type="dcterms:W3CDTF">2023-05-15T01:18:00Z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DE15111089694185952A0F940BF98A45</vt:lpwstr>
  </property>
</Properties>
</file>