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第1期</w:t>
      </w:r>
      <w:r>
        <w:rPr>
          <w:rFonts w:hint="eastAsia" w:ascii="黑体" w:hAnsi="黑体" w:eastAsia="黑体"/>
          <w:sz w:val="32"/>
          <w:szCs w:val="32"/>
        </w:rPr>
        <w:t>上交所</w:t>
      </w:r>
      <w:r>
        <w:rPr>
          <w:rFonts w:hint="eastAsia" w:ascii="黑体" w:hAnsi="黑体" w:eastAsia="黑体"/>
          <w:sz w:val="32"/>
          <w:szCs w:val="32"/>
          <w:lang w:eastAsia="zh-CN"/>
        </w:rPr>
        <w:t>基金与</w:t>
      </w:r>
      <w:r>
        <w:rPr>
          <w:rFonts w:hint="eastAsia" w:ascii="黑体" w:hAnsi="黑体" w:eastAsia="黑体"/>
          <w:sz w:val="32"/>
          <w:szCs w:val="32"/>
        </w:rPr>
        <w:t>期权</w:t>
      </w:r>
      <w:r>
        <w:rPr>
          <w:rFonts w:hint="eastAsia" w:ascii="黑体" w:hAnsi="黑体" w:eastAsia="黑体"/>
          <w:sz w:val="32"/>
          <w:szCs w:val="32"/>
          <w:lang w:eastAsia="zh-CN"/>
        </w:rPr>
        <w:t>投资</w:t>
      </w:r>
      <w:r>
        <w:rPr>
          <w:rFonts w:hint="eastAsia" w:ascii="黑体" w:hAnsi="黑体" w:eastAsia="黑体"/>
          <w:sz w:val="32"/>
          <w:szCs w:val="32"/>
        </w:rPr>
        <w:t>顾问培训班”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课程安排</w:t>
      </w:r>
    </w:p>
    <w:tbl>
      <w:tblPr>
        <w:tblStyle w:val="9"/>
        <w:tblpPr w:leftFromText="180" w:rightFromText="180" w:vertAnchor="text" w:horzAnchor="page" w:tblpX="969" w:tblpY="78"/>
        <w:tblOverlap w:val="never"/>
        <w:tblW w:w="5935" w:type="pct"/>
        <w:tblInd w:w="0" w:type="dxa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740"/>
        <w:gridCol w:w="1255"/>
        <w:gridCol w:w="5759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3" w:type="pct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日期</w:t>
            </w:r>
          </w:p>
        </w:tc>
        <w:tc>
          <w:tcPr>
            <w:tcW w:w="860" w:type="pct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时间</w:t>
            </w:r>
          </w:p>
        </w:tc>
        <w:tc>
          <w:tcPr>
            <w:tcW w:w="620" w:type="pct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课程名称</w:t>
            </w:r>
          </w:p>
        </w:tc>
        <w:tc>
          <w:tcPr>
            <w:tcW w:w="2846" w:type="pct"/>
            <w:tcBorders>
              <w:top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3" w:type="pct"/>
            <w:vMerge w:val="restart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860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8: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-8:55</w:t>
            </w:r>
          </w:p>
        </w:tc>
        <w:tc>
          <w:tcPr>
            <w:tcW w:w="3466" w:type="pct"/>
            <w:gridSpan w:val="2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ind w:firstLine="86" w:firstLineChars="41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设备调整准备时间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</w:trPr>
        <w:tc>
          <w:tcPr>
            <w:tcW w:w="673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860" w:type="pct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9:00—10:00</w:t>
            </w:r>
          </w:p>
        </w:tc>
        <w:tc>
          <w:tcPr>
            <w:tcW w:w="620" w:type="pct"/>
            <w:tcBorders>
              <w:bottom w:val="single" w:color="7BA0CD" w:themeColor="accent1" w:themeTint="BF" w:sz="8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46" w:type="pct"/>
            <w:tcBorders>
              <w:bottom w:val="single" w:color="7BA0CD" w:themeColor="accent1" w:themeTint="BF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期权的概念与基本功能；期权的合约要素、上交所股票期权的合约设计、期权的价值、影响期权价值的因素、希腊字母简介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3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860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10:00—10:15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课间休息</w:t>
            </w:r>
          </w:p>
        </w:tc>
        <w:tc>
          <w:tcPr>
            <w:tcW w:w="2846" w:type="pct"/>
            <w:shd w:val="clear" w:color="auto" w:fill="B8CCE4" w:themeFill="accent1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/>
                <w:bCs/>
                <w:color w:val="FFFFFF"/>
                <w:sz w:val="24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673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10:15—11:45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第二讲：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单腿期权策略</w:t>
            </w:r>
          </w:p>
        </w:tc>
        <w:tc>
          <w:tcPr>
            <w:tcW w:w="2846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买认购、卖认购、买认沽、卖认沽的盈亏分析；买入开仓的使用场景与风险点、买入开仓的90/10策略、限仓、限购制度；卖出开仓的使用场景与风险点、保证金、强行平仓制度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3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11:45—13:30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午休时间</w:t>
            </w:r>
          </w:p>
        </w:tc>
        <w:tc>
          <w:tcPr>
            <w:tcW w:w="2846" w:type="pct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</w:trPr>
        <w:tc>
          <w:tcPr>
            <w:tcW w:w="673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13:30—14:45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第三讲：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保险策略与备兑开仓</w:t>
            </w:r>
          </w:p>
        </w:tc>
        <w:tc>
          <w:tcPr>
            <w:tcW w:w="2846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3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14:45-15:00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课间休息</w:t>
            </w:r>
          </w:p>
        </w:tc>
        <w:tc>
          <w:tcPr>
            <w:tcW w:w="2846" w:type="pct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673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15:00—16:00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第四讲：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期权基础组合策略</w:t>
            </w:r>
          </w:p>
        </w:tc>
        <w:tc>
          <w:tcPr>
            <w:tcW w:w="2846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牛市价差组合、熊市价差组合、合成股票策略、跨式、宽跨式组合盈亏与案例分析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exact"/>
        </w:trPr>
        <w:tc>
          <w:tcPr>
            <w:tcW w:w="673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16:00—16:30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第五讲：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行权交收及限仓限购制度</w:t>
            </w:r>
          </w:p>
        </w:tc>
        <w:tc>
          <w:tcPr>
            <w:tcW w:w="2846" w:type="pct"/>
            <w:shd w:val="clear" w:color="auto" w:fill="D3DFEE" w:themeFill="accent1" w:themeFillTint="3F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上交所期权行权交收制度、限仓限购制度、当日的知识总结与梳理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exact"/>
        </w:trPr>
        <w:tc>
          <w:tcPr>
            <w:tcW w:w="673" w:type="pct"/>
            <w:vMerge w:val="restart"/>
            <w:tcBorders>
              <w:right w:val="single" w:color="7BA0CD" w:themeColor="accent1" w:themeTint="BF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60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default" w:ascii="Times New Roman" w:hAnsi="Times New Roman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9:00-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10:00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上交所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ETF市场概况与产品开发设计</w:t>
            </w:r>
          </w:p>
        </w:tc>
        <w:tc>
          <w:tcPr>
            <w:tcW w:w="2846" w:type="pct"/>
            <w:vAlign w:val="center"/>
          </w:tcPr>
          <w:p>
            <w:pPr>
              <w:jc w:val="left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沪市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ETF市场发展概况、ETF产品线；ETF开发流程、ETF公告信息查询、ETF一二级市场结构及申赎机制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73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D3DFEE" w:themeFill="accent1" w:themeFillTint="3F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default" w:ascii="Times New Roman" w:hAnsi="Times New Roman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10:00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ETF投资策略与应用</w:t>
            </w:r>
          </w:p>
        </w:tc>
        <w:tc>
          <w:tcPr>
            <w:tcW w:w="2846" w:type="pct"/>
            <w:shd w:val="clear" w:color="auto" w:fill="D3DFEE" w:themeFill="accent1" w:themeFillTint="3F"/>
            <w:vAlign w:val="center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ETF定投策略、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长期投资策略、资产配置策略、交易型策略等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673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D3DFEE" w:themeFill="accent1" w:themeFillTint="3F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line="300" w:lineRule="auto"/>
              <w:rPr>
                <w:rFonts w:hint="default" w:ascii="Times New Roman" w:hAnsi="Times New Roman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11：00-12:00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考试</w:t>
            </w:r>
          </w:p>
        </w:tc>
        <w:tc>
          <w:tcPr>
            <w:tcW w:w="2846" w:type="pct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3" w:type="pct"/>
            <w:vMerge w:val="continue"/>
            <w:tcBorders>
              <w:right w:val="single" w:color="7BA0CD" w:themeColor="accent1" w:themeTint="BF" w:sz="8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46" w:type="pct"/>
            <w:vAlign w:val="center"/>
          </w:tcPr>
          <w:p>
            <w:pPr>
              <w:ind w:firstLine="1050" w:firstLineChars="5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培训结束</w:t>
            </w:r>
          </w:p>
        </w:tc>
      </w:tr>
    </w:tbl>
    <w:p>
      <w:pPr>
        <w:adjustRightInd w:val="0"/>
        <w:snapToGrid w:val="0"/>
        <w:ind w:firstLine="482" w:firstLineChars="200"/>
        <w:rPr>
          <w:rFonts w:ascii="Times New Roman" w:hAnsi="Times New Roman" w:eastAsia="仿宋_GB2312" w:cs="Times New Roman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D03DD"/>
    <w:rsid w:val="001E2A1D"/>
    <w:rsid w:val="001F2849"/>
    <w:rsid w:val="00211877"/>
    <w:rsid w:val="00215B0E"/>
    <w:rsid w:val="0021781F"/>
    <w:rsid w:val="00234BF2"/>
    <w:rsid w:val="00241041"/>
    <w:rsid w:val="0026013F"/>
    <w:rsid w:val="002817F3"/>
    <w:rsid w:val="00294071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24E98"/>
    <w:rsid w:val="00343D4A"/>
    <w:rsid w:val="0034415F"/>
    <w:rsid w:val="00364C74"/>
    <w:rsid w:val="0037387E"/>
    <w:rsid w:val="003878D1"/>
    <w:rsid w:val="00414631"/>
    <w:rsid w:val="004267BB"/>
    <w:rsid w:val="00442B72"/>
    <w:rsid w:val="00451CE2"/>
    <w:rsid w:val="00451D2E"/>
    <w:rsid w:val="00471BB7"/>
    <w:rsid w:val="004813A5"/>
    <w:rsid w:val="00482284"/>
    <w:rsid w:val="00482715"/>
    <w:rsid w:val="004A0D14"/>
    <w:rsid w:val="004B17C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436D"/>
    <w:rsid w:val="006866B5"/>
    <w:rsid w:val="006965ED"/>
    <w:rsid w:val="006A473A"/>
    <w:rsid w:val="006A6812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1A42"/>
    <w:rsid w:val="00774C11"/>
    <w:rsid w:val="00775A93"/>
    <w:rsid w:val="00776EF6"/>
    <w:rsid w:val="00793739"/>
    <w:rsid w:val="00797A1B"/>
    <w:rsid w:val="007B198D"/>
    <w:rsid w:val="007B4CCC"/>
    <w:rsid w:val="007D4465"/>
    <w:rsid w:val="007E7923"/>
    <w:rsid w:val="00826E82"/>
    <w:rsid w:val="008353B9"/>
    <w:rsid w:val="008372C5"/>
    <w:rsid w:val="00841543"/>
    <w:rsid w:val="00843901"/>
    <w:rsid w:val="00845A7C"/>
    <w:rsid w:val="00847014"/>
    <w:rsid w:val="00854924"/>
    <w:rsid w:val="00855EF3"/>
    <w:rsid w:val="00877DBE"/>
    <w:rsid w:val="00892010"/>
    <w:rsid w:val="008B5940"/>
    <w:rsid w:val="008D0A4D"/>
    <w:rsid w:val="008D2BD7"/>
    <w:rsid w:val="008D5BC6"/>
    <w:rsid w:val="008E1C48"/>
    <w:rsid w:val="009143B9"/>
    <w:rsid w:val="0097217B"/>
    <w:rsid w:val="00975D85"/>
    <w:rsid w:val="009860EE"/>
    <w:rsid w:val="009B615B"/>
    <w:rsid w:val="009C7C78"/>
    <w:rsid w:val="009D0284"/>
    <w:rsid w:val="009D5530"/>
    <w:rsid w:val="009D67F4"/>
    <w:rsid w:val="009E03B3"/>
    <w:rsid w:val="009E1008"/>
    <w:rsid w:val="009E33DE"/>
    <w:rsid w:val="009E3401"/>
    <w:rsid w:val="009E6482"/>
    <w:rsid w:val="00A00888"/>
    <w:rsid w:val="00A070CA"/>
    <w:rsid w:val="00A11A9B"/>
    <w:rsid w:val="00A26E28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6E16"/>
    <w:rsid w:val="00C6519A"/>
    <w:rsid w:val="00C70FC1"/>
    <w:rsid w:val="00C9384D"/>
    <w:rsid w:val="00CB038A"/>
    <w:rsid w:val="00CB2655"/>
    <w:rsid w:val="00CB3CDA"/>
    <w:rsid w:val="00CB57BD"/>
    <w:rsid w:val="00CC0C64"/>
    <w:rsid w:val="00CD6F25"/>
    <w:rsid w:val="00CE48E2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4B58"/>
    <w:rsid w:val="00D865E0"/>
    <w:rsid w:val="00D8763C"/>
    <w:rsid w:val="00D96510"/>
    <w:rsid w:val="00DD5A8E"/>
    <w:rsid w:val="00DE0A3C"/>
    <w:rsid w:val="00DE2752"/>
    <w:rsid w:val="00DE46E6"/>
    <w:rsid w:val="00DE4DAF"/>
    <w:rsid w:val="00E01E0E"/>
    <w:rsid w:val="00E11292"/>
    <w:rsid w:val="00E1417F"/>
    <w:rsid w:val="00E24DF3"/>
    <w:rsid w:val="00E26F4A"/>
    <w:rsid w:val="00E32A1F"/>
    <w:rsid w:val="00E344EC"/>
    <w:rsid w:val="00E56AC5"/>
    <w:rsid w:val="00E87D13"/>
    <w:rsid w:val="00E90931"/>
    <w:rsid w:val="00E97D0D"/>
    <w:rsid w:val="00EC4FBF"/>
    <w:rsid w:val="00ED56DC"/>
    <w:rsid w:val="00EE41BC"/>
    <w:rsid w:val="00EE6CB5"/>
    <w:rsid w:val="00F236D8"/>
    <w:rsid w:val="00F34EC4"/>
    <w:rsid w:val="00F45E23"/>
    <w:rsid w:val="00F7557E"/>
    <w:rsid w:val="00F82273"/>
    <w:rsid w:val="00FA3AAD"/>
    <w:rsid w:val="00FA7C19"/>
    <w:rsid w:val="00FB3B04"/>
    <w:rsid w:val="00FB3CFE"/>
    <w:rsid w:val="00FB5D66"/>
    <w:rsid w:val="00FD6761"/>
    <w:rsid w:val="00FD7A8B"/>
    <w:rsid w:val="00FE5EBC"/>
    <w:rsid w:val="00FF0580"/>
    <w:rsid w:val="00FF37B4"/>
    <w:rsid w:val="00FF7FCE"/>
    <w:rsid w:val="09D1582A"/>
    <w:rsid w:val="173736DF"/>
    <w:rsid w:val="17D726F3"/>
    <w:rsid w:val="1F4F6309"/>
    <w:rsid w:val="24545B99"/>
    <w:rsid w:val="28C26B7F"/>
    <w:rsid w:val="328031B1"/>
    <w:rsid w:val="33011605"/>
    <w:rsid w:val="38061D32"/>
    <w:rsid w:val="3E2452BD"/>
    <w:rsid w:val="408C7260"/>
    <w:rsid w:val="44524527"/>
    <w:rsid w:val="51CF0D8E"/>
    <w:rsid w:val="53FD448D"/>
    <w:rsid w:val="54623239"/>
    <w:rsid w:val="54E3409D"/>
    <w:rsid w:val="57054A5B"/>
    <w:rsid w:val="5CB037F8"/>
    <w:rsid w:val="6C267F57"/>
    <w:rsid w:val="6CC17686"/>
    <w:rsid w:val="6F7E3105"/>
    <w:rsid w:val="73E40234"/>
    <w:rsid w:val="74513B61"/>
    <w:rsid w:val="7F386F42"/>
    <w:rsid w:val="7FCF7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Shading 1 Accent 1"/>
    <w:basedOn w:val="7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CA9D-3203-4970-B5D7-52628CB69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103</Words>
  <Characters>593</Characters>
  <Lines>4</Lines>
  <Paragraphs>1</Paragraphs>
  <TotalTime>45</TotalTime>
  <ScaleCrop>false</ScaleCrop>
  <LinksUpToDate>false</LinksUpToDate>
  <CharactersWithSpaces>695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2022-11-03T08:24:00Z</dcterms:created>
  <dc:creator>sse</dc:creator>
  <cp:lastModifiedBy>ytzhou</cp:lastModifiedBy>
  <cp:lastPrinted>2023-04-10T07:06:00Z</cp:lastPrinted>
  <dcterms:modified xsi:type="dcterms:W3CDTF">2023-04-10T09:24:40Z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BD1755FE731F4651939657C514452B3F</vt:lpwstr>
  </property>
</Properties>
</file>