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09" w:rsidRDefault="00076309" w:rsidP="00076309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076309" w:rsidRDefault="00076309" w:rsidP="0007630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</w:t>
      </w:r>
      <w:r w:rsidR="000063F5"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期“上交所期权策略顾问培训班（初级班）”</w:t>
      </w:r>
    </w:p>
    <w:p w:rsidR="00076309" w:rsidRDefault="00076309" w:rsidP="0007630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:rsidR="00076309" w:rsidRDefault="00076309" w:rsidP="0007630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076309" w:rsidRPr="00C671DE" w:rsidRDefault="00076309" w:rsidP="00076309">
      <w:pPr>
        <w:jc w:val="left"/>
        <w:rPr>
          <w:rFonts w:ascii="黑体" w:eastAsia="黑体" w:hAnsi="黑体"/>
          <w:sz w:val="20"/>
          <w:szCs w:val="20"/>
        </w:rPr>
      </w:pPr>
      <w:r w:rsidRPr="00C671DE">
        <w:rPr>
          <w:rFonts w:ascii="华文彩云" w:eastAsia="华文彩云" w:hint="eastAsia"/>
          <w:sz w:val="20"/>
          <w:szCs w:val="20"/>
        </w:rPr>
        <w:t>★</w:t>
      </w:r>
      <w:r w:rsidRPr="00C671DE">
        <w:rPr>
          <w:rFonts w:ascii="华文彩云" w:eastAsia="华文彩云" w:hint="eastAsia"/>
          <w:i/>
          <w:sz w:val="20"/>
          <w:szCs w:val="20"/>
        </w:rPr>
        <w:t>上课地点</w:t>
      </w:r>
      <w:r w:rsidRPr="00C671DE">
        <w:rPr>
          <w:rFonts w:ascii="黑体" w:eastAsia="黑体" w:hAnsi="黑体" w:hint="eastAsia"/>
          <w:sz w:val="20"/>
          <w:szCs w:val="20"/>
        </w:rPr>
        <w:t>：</w:t>
      </w:r>
      <w:r w:rsidR="000063F5" w:rsidRPr="000063F5">
        <w:rPr>
          <w:rFonts w:ascii="黑体" w:eastAsia="黑体" w:hAnsi="黑体" w:cs="Times New Roman" w:hint="eastAsia"/>
          <w:b/>
          <w:szCs w:val="21"/>
        </w:rPr>
        <w:t>宁波凯洲皇冠假日酒店</w:t>
      </w:r>
      <w:r w:rsidR="000063F5">
        <w:rPr>
          <w:rFonts w:ascii="黑体" w:eastAsia="黑体" w:hAnsi="黑体" w:cs="Times New Roman" w:hint="eastAsia"/>
          <w:b/>
          <w:szCs w:val="21"/>
        </w:rPr>
        <w:t xml:space="preserve"> </w:t>
      </w:r>
      <w:r w:rsidR="000063F5" w:rsidRPr="000063F5">
        <w:rPr>
          <w:rFonts w:ascii="黑体" w:eastAsia="黑体" w:hAnsi="黑体" w:cs="Times New Roman" w:hint="eastAsia"/>
          <w:b/>
          <w:szCs w:val="21"/>
        </w:rPr>
        <w:t>北楼四楼 聚龙轩厅</w:t>
      </w:r>
    </w:p>
    <w:tbl>
      <w:tblPr>
        <w:tblW w:w="9470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581"/>
        <w:gridCol w:w="1762"/>
        <w:gridCol w:w="5382"/>
      </w:tblGrid>
      <w:tr w:rsidR="00076309" w:rsidTr="00443217">
        <w:trPr>
          <w:trHeight w:val="519"/>
          <w:jc w:val="center"/>
        </w:trPr>
        <w:tc>
          <w:tcPr>
            <w:tcW w:w="7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076309" w:rsidRDefault="00076309" w:rsidP="000063F5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时间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076309" w:rsidRDefault="00076309" w:rsidP="000063F5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课程名称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076309" w:rsidRDefault="00076309" w:rsidP="000063F5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培训内容</w:t>
            </w:r>
          </w:p>
        </w:tc>
      </w:tr>
      <w:tr w:rsidR="00076309" w:rsidTr="00443217">
        <w:trPr>
          <w:trHeight w:val="44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063F5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6</w:t>
            </w:r>
          </w:p>
          <w:p w:rsidR="00076309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076309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2</w:t>
            </w:r>
            <w:r w:rsidR="000063F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4</w:t>
            </w:r>
          </w:p>
          <w:p w:rsidR="00076309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8:30-8:55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签到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第一讲：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期权的基础知识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期权的概念与基本功能；期权的合约要素、上交所股票期权的合约设计、期权的价值、影响期权价值的因素、希腊字母简介、涨跌停制度、断路器制度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第二讲：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单腿期权策略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买认购、卖认购、买认沽、卖认沽的盈亏分析；买入开仓的使用场景与风险点、买入开仓的90/10策略、限仓、限购制度；卖出开仓的使用场景与风险点、保证金、强行平仓制度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自助午餐、休息</w:t>
            </w:r>
          </w:p>
        </w:tc>
      </w:tr>
      <w:tr w:rsidR="00076309" w:rsidTr="00443217">
        <w:trPr>
          <w:trHeight w:val="92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14:45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第三讲：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保险策略与备兑开仓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保险策略的使用场景、盈亏分析与风险特征、投资组合的5种保险策略对比；备兑开仓策略的使用场景、盈亏分析、风险特征和收益指标；卖出认沽买股票策略的应用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14:45-15:00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15:00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第四讲：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期权基础组合策略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牛市价差组合、熊市价差组合、股票修补策略、合成股票策略、跨式、宽跨式组合盈亏与案例分析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16:00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16:30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AF774C">
              <w:rPr>
                <w:rFonts w:ascii="宋体" w:hAnsi="宋体" w:cs="宋体" w:hint="eastAsia"/>
                <w:szCs w:val="21"/>
              </w:rPr>
              <w:t>第五讲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AF774C">
              <w:rPr>
                <w:rFonts w:ascii="宋体" w:hAnsi="宋体" w:cs="宋体" w:hint="eastAsia"/>
                <w:szCs w:val="21"/>
              </w:rPr>
              <w:t>行权交收及限仓限购制度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上交所期权行权交收制度、限仓限购制度、当日的知识总结与梳理、考试辅导</w:t>
            </w:r>
          </w:p>
        </w:tc>
      </w:tr>
      <w:tr w:rsidR="00076309" w:rsidTr="00443217">
        <w:trPr>
          <w:trHeight w:val="60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063F5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6</w:t>
            </w:r>
          </w:p>
          <w:p w:rsidR="00076309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076309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2</w:t>
            </w:r>
            <w:r w:rsidR="000063F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5</w:t>
            </w:r>
          </w:p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9:00-10:00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股票期权客户开发之新手篇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目标人群、营销技巧、投资者适当性管理、介绍客户端使用方法、行情浏览、交易操作、投资者如何起步期权交易</w:t>
            </w:r>
          </w:p>
        </w:tc>
      </w:tr>
      <w:tr w:rsidR="00076309" w:rsidTr="00443217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10:00-11:00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股票期权客户开发之实战篇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模拟交易与真实交易的案例分析与讨论</w:t>
            </w:r>
          </w:p>
        </w:tc>
      </w:tr>
      <w:tr w:rsidR="00076309" w:rsidTr="00443217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11:00-12:00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结业考试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rPr>
                <w:rFonts w:ascii="宋体" w:hAnsi="宋体" w:cs="宋体"/>
                <w:szCs w:val="21"/>
              </w:rPr>
            </w:pPr>
          </w:p>
        </w:tc>
      </w:tr>
      <w:tr w:rsidR="00076309" w:rsidTr="00443217">
        <w:trPr>
          <w:trHeight w:val="394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12:00-13:00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自助午餐</w:t>
            </w:r>
          </w:p>
        </w:tc>
      </w:tr>
    </w:tbl>
    <w:p w:rsidR="00A341EA" w:rsidRPr="00076309" w:rsidRDefault="00076309" w:rsidP="00076309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20"/>
          <w:szCs w:val="20"/>
        </w:rPr>
      </w:pPr>
      <w:r w:rsidRPr="000A3255">
        <w:rPr>
          <w:rFonts w:ascii="黑体" w:eastAsia="黑体" w:hAnsi="黑体" w:cs="黑体" w:hint="eastAsia"/>
          <w:bCs/>
          <w:kern w:val="44"/>
          <w:sz w:val="20"/>
          <w:szCs w:val="20"/>
        </w:rPr>
        <w:t>*具体课程安排请以实际为准</w:t>
      </w:r>
    </w:p>
    <w:sectPr w:rsidR="00A341EA" w:rsidRPr="00076309" w:rsidSect="00A34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39" w:rsidRDefault="009E4539" w:rsidP="000063F5">
      <w:r>
        <w:separator/>
      </w:r>
    </w:p>
  </w:endnote>
  <w:endnote w:type="continuationSeparator" w:id="0">
    <w:p w:rsidR="009E4539" w:rsidRDefault="009E4539" w:rsidP="0000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39" w:rsidRDefault="009E4539" w:rsidP="000063F5">
      <w:r>
        <w:separator/>
      </w:r>
    </w:p>
  </w:footnote>
  <w:footnote w:type="continuationSeparator" w:id="0">
    <w:p w:rsidR="009E4539" w:rsidRDefault="009E4539" w:rsidP="00006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309"/>
    <w:rsid w:val="000063F5"/>
    <w:rsid w:val="00076309"/>
    <w:rsid w:val="009954BC"/>
    <w:rsid w:val="009E4539"/>
    <w:rsid w:val="00A3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0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63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63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tek</cp:lastModifiedBy>
  <cp:revision>2</cp:revision>
  <dcterms:created xsi:type="dcterms:W3CDTF">2019-09-26T06:29:00Z</dcterms:created>
  <dcterms:modified xsi:type="dcterms:W3CDTF">2021-06-01T08:48:00Z</dcterms:modified>
</cp:coreProperties>
</file>