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附件1</w:t>
      </w:r>
      <w:r>
        <w:rPr>
          <w:rFonts w:hint="eastAsia" w:ascii="Times New Roman" w:hAnsi="黑体" w:eastAsia="黑体" w:cs="Times New Roman"/>
          <w:b/>
          <w:sz w:val="32"/>
          <w:szCs w:val="32"/>
          <w:lang w:eastAsia="zh-CN"/>
        </w:rPr>
        <w:t>：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上海证券交易所</w:t>
      </w:r>
      <w:r>
        <w:rPr>
          <w:rFonts w:ascii="Times New Roman" w:hAnsi="Times New Roman" w:eastAsia="黑体" w:cs="Times New Roman"/>
          <w:b/>
          <w:sz w:val="32"/>
          <w:szCs w:val="32"/>
        </w:rPr>
        <w:t>2022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年第四期董事、监事和高管初任培训课程表</w:t>
      </w:r>
    </w:p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</w:p>
    <w:tbl>
      <w:tblPr>
        <w:tblStyle w:val="6"/>
        <w:tblW w:w="5416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121"/>
        <w:gridCol w:w="420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5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30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主板必修课</w:t>
            </w:r>
          </w:p>
        </w:tc>
        <w:tc>
          <w:tcPr>
            <w:tcW w:w="2274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科创板必修课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注册制背景下董监高法律责任的变化</w:t>
            </w:r>
          </w:p>
        </w:tc>
        <w:tc>
          <w:tcPr>
            <w:tcW w:w="22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注册制背景下董监高法律责任的变化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2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sz w:val="24"/>
              </w:rPr>
              <w:t>的正当</w:t>
            </w:r>
            <w:r>
              <w:rPr>
                <w:rFonts w:ascii="楷体" w:hAnsi="楷体" w:eastAsia="楷体" w:cs="宋体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sz w:val="24"/>
              </w:rPr>
              <w:t xml:space="preserve">   </w:t>
            </w:r>
          </w:p>
        </w:tc>
        <w:tc>
          <w:tcPr>
            <w:tcW w:w="22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sz w:val="24"/>
              </w:rPr>
              <w:t>的正当</w:t>
            </w:r>
            <w:r>
              <w:rPr>
                <w:rFonts w:ascii="楷体" w:hAnsi="楷体" w:eastAsia="楷体" w:cs="宋体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3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注册制背景下最新监管形势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注册制背景下最新监管形势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4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上市公司风险成因及防范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上市公司风险成因及防范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5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42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6</w:t>
            </w:r>
          </w:p>
        </w:tc>
        <w:tc>
          <w:tcPr>
            <w:tcW w:w="22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（下）</w:t>
            </w:r>
          </w:p>
        </w:tc>
        <w:tc>
          <w:tcPr>
            <w:tcW w:w="42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（下）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</w:t>
            </w:r>
          </w:p>
        </w:tc>
        <w:tc>
          <w:tcPr>
            <w:tcW w:w="2230" w:type="pct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近期纪律处分案例         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科创板董监高纪律处分典型案例</w:t>
            </w:r>
            <w:r>
              <w:rPr>
                <w:rFonts w:ascii="楷体" w:hAnsi="楷体" w:eastAsia="楷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</w:t>
            </w:r>
          </w:p>
        </w:tc>
        <w:tc>
          <w:tcPr>
            <w:tcW w:w="2230" w:type="pct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并购重组、再融资及分拆上市介绍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科创板持续监管理念与重点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</w:t>
            </w:r>
          </w:p>
        </w:tc>
        <w:tc>
          <w:tcPr>
            <w:tcW w:w="223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股权激励与员工持股</w:t>
            </w:r>
          </w:p>
        </w:tc>
        <w:tc>
          <w:tcPr>
            <w:tcW w:w="227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科创板股权激励、再融资、并购重组等政策</w:t>
            </w:r>
            <w:r>
              <w:rPr>
                <w:rFonts w:ascii="楷体" w:hAnsi="楷体" w:eastAsia="楷体" w:cs="宋体"/>
                <w:sz w:val="24"/>
              </w:rPr>
              <w:t>特点</w:t>
            </w:r>
            <w:r>
              <w:rPr>
                <w:rFonts w:hint="eastAsia" w:ascii="楷体" w:hAnsi="楷体" w:eastAsia="楷体" w:cs="宋体"/>
                <w:sz w:val="24"/>
              </w:rPr>
              <w:t>介绍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22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2274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auto" w:sz="4" w:space="0"/>
              <w:bottom w:val="single" w:color="auto" w:sz="2" w:space="0"/>
            </w:tcBorders>
            <w:shd w:val="clear" w:color="auto" w:fill="548DD4" w:themeFill="text2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504" w:type="pct"/>
            <w:gridSpan w:val="2"/>
            <w:tcBorders>
              <w:top w:val="single" w:color="auto" w:sz="4" w:space="0"/>
              <w:bottom w:val="single" w:color="auto" w:sz="2" w:space="0"/>
            </w:tcBorders>
            <w:shd w:val="clear" w:color="auto" w:fill="548DD4" w:themeFill="text2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选修课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</w:t>
            </w:r>
          </w:p>
        </w:tc>
        <w:tc>
          <w:tcPr>
            <w:tcW w:w="4504" w:type="pct"/>
            <w:gridSpan w:val="2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上交所债券市场概况及融资品种介绍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上交所ETF市场概况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持股行权角度谈投资者保护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专精特新系列：大变局下高端制造投资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专精特新系列：新能源产业链（非汽车）投资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专精特新系列：新能源汽车产业投资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绿色金融系列：碳中和下ESG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绿色金融系列：企业碳管理实务与策略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绿色金融系列：上市公司ESG信披管理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新舆论生态下的上市公司N重压力与传播管理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11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《公司法》专题讲解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12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《证券法》专题讲解</w:t>
            </w:r>
          </w:p>
        </w:tc>
      </w:tr>
    </w:tbl>
    <w:p>
      <w:pPr>
        <w:spacing w:beforeLines="5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必修课要求全部学习完成，选修课要求</w:t>
      </w:r>
      <w:r>
        <w:rPr>
          <w:rFonts w:hint="eastAsia" w:ascii="楷体" w:hAnsi="楷体" w:eastAsia="楷体" w:cs="宋体"/>
          <w:sz w:val="24"/>
          <w:lang w:eastAsia="zh-CN"/>
        </w:rPr>
        <w:t>完成</w:t>
      </w:r>
      <w:r>
        <w:rPr>
          <w:rFonts w:hint="eastAsia" w:ascii="楷体" w:hAnsi="楷体" w:eastAsia="楷体" w:cs="宋体"/>
          <w:sz w:val="24"/>
          <w:lang w:val="en-US" w:eastAsia="zh-CN"/>
        </w:rPr>
        <w:t>2门学习</w:t>
      </w:r>
      <w:r>
        <w:rPr>
          <w:rFonts w:hint="eastAsia" w:ascii="楷体" w:hAnsi="楷体" w:eastAsia="楷体" w:cs="宋体"/>
          <w:sz w:val="24"/>
        </w:rPr>
        <w:t>。</w:t>
      </w:r>
    </w:p>
    <w:sectPr>
      <w:pgSz w:w="11906" w:h="16838"/>
      <w:pgMar w:top="1021" w:right="1797" w:bottom="1077" w:left="1797" w:header="851" w:footer="992" w:gutter="0"/>
      <w:pgBorders w:offsetFrom="page">
        <w:top w:val="single" w:color="auto" w:sz="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687A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1330D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10E8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8071D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564DD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1829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2296E6A"/>
    <w:rsid w:val="261338F0"/>
    <w:rsid w:val="275C26AC"/>
    <w:rsid w:val="293634F1"/>
    <w:rsid w:val="293729E6"/>
    <w:rsid w:val="2FF963E6"/>
    <w:rsid w:val="315D156C"/>
    <w:rsid w:val="3229067A"/>
    <w:rsid w:val="349B61EE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47FD5"/>
    <w:rsid w:val="582D2E08"/>
    <w:rsid w:val="5CA21B2E"/>
    <w:rsid w:val="5FD91BA4"/>
    <w:rsid w:val="63DE4084"/>
    <w:rsid w:val="64010ADB"/>
    <w:rsid w:val="641822C6"/>
    <w:rsid w:val="6620226E"/>
    <w:rsid w:val="66C44636"/>
    <w:rsid w:val="699D7257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5 Char"/>
    <w:basedOn w:val="7"/>
    <w:link w:val="2"/>
    <w:qFormat/>
    <w:uiPriority w:val="9"/>
    <w:rPr>
      <w:rFonts w:ascii="宋体" w:hAnsi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2022-07-15T03:02:00Z</dcterms:created>
  <dc:creator>dsware</dc:creator>
  <cp:lastModifiedBy>tytang</cp:lastModifiedBy>
  <cp:lastPrinted>2022-07-15T05:19:00Z</cp:lastPrinted>
  <dcterms:modified xsi:type="dcterms:W3CDTF">2022-07-15T09:32:29Z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8966C4A1C1C045F9BF546F5AFF72EFEA</vt:lpwstr>
  </property>
</Properties>
</file>