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ind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/>
          <w:sz w:val="30"/>
          <w:szCs w:val="30"/>
        </w:rPr>
        <w:t>上海证券交易所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2023年第2期主板新上市公司</w:t>
      </w:r>
    </w:p>
    <w:p>
      <w:pPr>
        <w:adjustRightInd w:val="0"/>
        <w:snapToGrid w:val="0"/>
        <w:spacing w:beforeLines="50" w:line="360" w:lineRule="auto"/>
        <w:ind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董办人员信息披露实务培训</w:t>
      </w:r>
      <w:r>
        <w:rPr>
          <w:rFonts w:hint="eastAsia" w:ascii="黑体" w:hAnsi="黑体" w:eastAsia="黑体" w:cs="黑体"/>
          <w:b/>
          <w:sz w:val="30"/>
          <w:szCs w:val="30"/>
        </w:rPr>
        <w:t>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报名学员需在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5月19日至5月29日期间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自主安排时间完成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  <w:highlight w:val="none"/>
          <w:lang w:eastAsia="zh-CN"/>
        </w:rPr>
        <w:t>全部线上课程学习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，并在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5月30日至31日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线下培训。</w:t>
      </w:r>
    </w:p>
    <w:p>
      <w:pPr>
        <w:spacing w:beforeLines="50"/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1线上学习课程表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年5月19日（周五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）10:00-5月29日（周一）10:00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1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8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信息披露最新监管政策解读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股权激励与员工持股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上市公司投资者关系管理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纪律处分案例解读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上市公司日常公告解析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上交所上市公司培训体系介绍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上市公司网络投票、e互动等实务操作经验交流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58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上市公司权益业务及证券查询业务介绍</w:t>
            </w:r>
          </w:p>
        </w:tc>
      </w:tr>
    </w:tbl>
    <w:p>
      <w:pPr>
        <w:rPr>
          <w:rFonts w:hint="eastAsia" w:ascii="楷体" w:hAnsi="楷体" w:eastAsia="楷体" w:cs="宋体"/>
          <w:b/>
          <w:bCs/>
          <w:sz w:val="24"/>
        </w:rPr>
      </w:pPr>
    </w:p>
    <w:p/>
    <w:p>
      <w:pPr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2线下培训课程表</w:t>
      </w:r>
    </w:p>
    <w:tbl>
      <w:tblPr>
        <w:tblStyle w:val="3"/>
        <w:tblW w:w="4998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910"/>
        <w:gridCol w:w="3767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序号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000" w:type="pct"/>
            <w:gridSpan w:val="3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highlight w:val="none"/>
                <w:lang w:val="en-US" w:eastAsia="zh-CN"/>
              </w:rPr>
              <w:t>2023年5月30日（周二）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</w:t>
            </w:r>
          </w:p>
        </w:tc>
        <w:tc>
          <w:tcPr>
            <w:tcW w:w="2295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8:30-8:55</w:t>
            </w:r>
          </w:p>
        </w:tc>
        <w:tc>
          <w:tcPr>
            <w:tcW w:w="2210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学员签到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2</w:t>
            </w:r>
          </w:p>
        </w:tc>
        <w:tc>
          <w:tcPr>
            <w:tcW w:w="2295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9:00-10:15</w:t>
            </w:r>
          </w:p>
        </w:tc>
        <w:tc>
          <w:tcPr>
            <w:tcW w:w="2210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主板上市规则解读（一）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3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lang w:val="en-US" w:eastAsia="zh-CN"/>
              </w:rPr>
              <w:t>10:30-12:00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主板上市规则解读（二）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4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14:00-15:15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主板上市规则解读（三）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15:30-17:00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公司业务系统介绍、业务操作实务及风险案例介绍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000" w:type="pct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color w:val="00000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highlight w:val="none"/>
                <w:lang w:val="en-US" w:eastAsia="zh-CN"/>
              </w:rPr>
              <w:t>2023年5月31日（周三）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9:30-10:20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培训回顾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（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闭卷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笔试）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val="en-US" w:eastAsia="zh-CN"/>
              </w:rPr>
              <w:t>10:30-11:30</w:t>
            </w:r>
          </w:p>
        </w:tc>
        <w:tc>
          <w:tcPr>
            <w:tcW w:w="221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培训回顾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（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上机操作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）</w:t>
            </w:r>
          </w:p>
        </w:tc>
      </w:tr>
    </w:tbl>
    <w:p>
      <w:pPr>
        <w:spacing w:beforeLines="50"/>
        <w:rPr>
          <w:rFonts w:hint="eastAsia" w:ascii="楷体" w:hAnsi="楷体" w:eastAsia="楷体" w:cs="宋体"/>
          <w:b/>
          <w:bCs/>
          <w:sz w:val="24"/>
          <w:lang w:eastAsia="zh-CN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2554D"/>
    <w:rsid w:val="1722554D"/>
    <w:rsid w:val="218B358F"/>
    <w:rsid w:val="23836F64"/>
    <w:rsid w:val="35FC052B"/>
    <w:rsid w:val="404646CE"/>
    <w:rsid w:val="44AC54CB"/>
    <w:rsid w:val="4B53457E"/>
    <w:rsid w:val="66124080"/>
    <w:rsid w:val="6998411F"/>
    <w:rsid w:val="749D2C2D"/>
    <w:rsid w:val="7ADA4FB4"/>
    <w:rsid w:val="7C4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2023-03-09T08:25:00Z</dcterms:created>
  <dc:creator>tytang</dc:creator>
  <cp:lastModifiedBy>tytang</cp:lastModifiedBy>
  <cp:lastPrinted>2023-05-12T05:12:00Z</cp:lastPrinted>
  <dcterms:modified xsi:type="dcterms:W3CDTF">2023-05-12T09:26:47Z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56AD7256BDB94227B58ECAE5F1629999</vt:lpwstr>
  </property>
</Properties>
</file>