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44"/>
          <w:sz w:val="32"/>
          <w:szCs w:val="32"/>
        </w:rPr>
        <w:t>附件1：</w:t>
      </w:r>
    </w:p>
    <w:p>
      <w:pPr>
        <w:jc w:val="center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上市公司高质量发展系列培训</w:t>
      </w:r>
    </w:p>
    <w:p>
      <w:pPr>
        <w:jc w:val="center"/>
        <w:rPr>
          <w:rFonts w:hint="eastAsia"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并购</w:t>
      </w: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重组实务专题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课程表</w:t>
      </w:r>
    </w:p>
    <w:p>
      <w:pPr>
        <w:adjustRightInd w:val="0"/>
        <w:snapToGrid w:val="0"/>
        <w:rPr>
          <w:rFonts w:hint="eastAsia" w:ascii="楷体" w:hAnsi="楷体" w:eastAsia="楷体" w:cs="宋体"/>
          <w:sz w:val="24"/>
        </w:rPr>
      </w:pPr>
    </w:p>
    <w:tbl>
      <w:tblPr>
        <w:tblStyle w:val="2"/>
        <w:tblW w:w="5455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697"/>
        <w:gridCol w:w="5190"/>
        <w:gridCol w:w="1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912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8"/>
                <w:szCs w:val="28"/>
                <w:lang w:eastAsia="zh-CN"/>
              </w:rPr>
              <w:t>主题</w:t>
            </w: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FFFFFF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/>
                <w:kern w:val="0"/>
                <w:sz w:val="28"/>
                <w:szCs w:val="28"/>
                <w:lang w:eastAsia="zh-CN"/>
              </w:rPr>
              <w:t>课程名称</w:t>
            </w:r>
          </w:p>
        </w:tc>
        <w:tc>
          <w:tcPr>
            <w:tcW w:w="889" w:type="pct"/>
            <w:tcBorders>
              <w:top w:val="single" w:color="4F81BD" w:sz="8" w:space="0"/>
              <w:left w:val="single" w:color="4F81BD" w:sz="8" w:space="0"/>
              <w:bottom w:val="single" w:color="FFFFFF" w:sz="18" w:space="0"/>
              <w:right w:val="single" w:color="4F81BD" w:sz="8" w:space="0"/>
            </w:tcBorders>
            <w:shd w:val="clear" w:color="auto" w:fill="4F81BD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FFFFFF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FFFF"/>
                <w:kern w:val="2"/>
                <w:sz w:val="28"/>
                <w:szCs w:val="28"/>
                <w:lang w:val="en-US" w:eastAsia="zh-CN" w:bidi="ar-SA"/>
              </w:rPr>
              <w:t>上线时间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07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2" w:type="pct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模块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前期筹备</w:t>
            </w:r>
          </w:p>
        </w:tc>
        <w:tc>
          <w:tcPr>
            <w:tcW w:w="2790" w:type="pc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并购重组市场情况及政策解读（上）</w:t>
            </w:r>
          </w:p>
        </w:tc>
        <w:tc>
          <w:tcPr>
            <w:tcW w:w="889" w:type="pct"/>
            <w:vMerge w:val="restart"/>
            <w:tcBorders>
              <w:top w:val="single" w:color="FFFFFF" w:sz="1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2024.04.30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并购重组市场情况及政策解读（下）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并购重组发起与准备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产业并购策略与实施要点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2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模块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方案实施</w:t>
            </w:r>
          </w:p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尽职调查重点事项</w:t>
            </w:r>
          </w:p>
        </w:tc>
        <w:tc>
          <w:tcPr>
            <w:tcW w:w="889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2024.05.16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交易结构设计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并购重组中的会计处理事项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并购重组中税务问题讨论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 xml:space="preserve">并购重组中的评估问题 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并购重组重点法律问题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2" w:type="pct"/>
            <w:vMerge w:val="restar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模块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3：并购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整合</w:t>
            </w: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整合安排和交割后纠纷案例剖析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07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2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90" w:type="pct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28"/>
              </w:rPr>
              <w:t>上市公司整合战略及经验分享</w:t>
            </w:r>
          </w:p>
        </w:tc>
        <w:tc>
          <w:tcPr>
            <w:tcW w:w="889" w:type="pct"/>
            <w:vMerge w:val="continue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adjustRightInd w:val="0"/>
        <w:snapToGrid w:val="0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宋体"/>
          <w:sz w:val="24"/>
        </w:rPr>
        <w:t>课程安排以培训实际安排为准。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67BD1"/>
    <w:rsid w:val="51F6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249</Characters>
  <Lines>0</Lines>
  <Paragraphs>0</Paragraphs>
  <TotalTime>0</TotalTime>
  <ScaleCrop>false</ScaleCrop>
  <LinksUpToDate>false</LinksUpToDate>
  <CharactersWithSpaces>250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2024-04-25T02:12:00Z</dcterms:created>
  <dc:creator>ytzhou</dc:creator>
  <cp:lastModifiedBy>ytzhou</cp:lastModifiedBy>
  <dcterms:modified xsi:type="dcterms:W3CDTF">2024-04-25T02:14:23Z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F38473C8D34B470D8F57D1D2578AEC81</vt:lpwstr>
  </property>
</Properties>
</file>