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auto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附件1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：</w:t>
      </w:r>
      <w:r>
        <w:rPr>
          <w:rFonts w:hint="eastAsia" w:ascii="黑体" w:hAnsi="黑体" w:eastAsia="黑体" w:cs="黑体"/>
          <w:b/>
          <w:sz w:val="30"/>
          <w:szCs w:val="30"/>
        </w:rPr>
        <w:t>上海证券交易所202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0"/>
          <w:szCs w:val="30"/>
        </w:rPr>
        <w:t>年第</w:t>
      </w:r>
      <w:r>
        <w:rPr>
          <w:rFonts w:hint="eastAsia" w:ascii="黑体" w:hAnsi="黑体" w:eastAsia="黑体" w:cs="黑体"/>
          <w:b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0"/>
          <w:szCs w:val="30"/>
        </w:rPr>
        <w:t>期董事、监事和高管初任培训课程表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必修课要求完成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0"/>
          <w:szCs w:val="30"/>
        </w:rPr>
        <w:t>全部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0"/>
          <w:szCs w:val="30"/>
          <w:lang w:eastAsia="zh-CN"/>
        </w:rPr>
        <w:t>课程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，选修课要求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0"/>
          <w:szCs w:val="30"/>
          <w:lang w:val="en-US" w:eastAsia="zh-CN"/>
        </w:rPr>
        <w:t>2门课程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学习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。</w:t>
      </w:r>
      <w:bookmarkStart w:id="0" w:name="_GoBack"/>
      <w:bookmarkEnd w:id="0"/>
    </w:p>
    <w:p>
      <w:pPr>
        <w:spacing w:beforeLines="50"/>
        <w:jc w:val="center"/>
        <w:rPr>
          <w:rFonts w:hint="default" w:ascii="楷体" w:hAnsi="楷体" w:eastAsia="楷体" w:cs="宋体"/>
          <w:b/>
          <w:bCs/>
          <w:sz w:val="24"/>
          <w:lang w:val="en-US" w:eastAsia="zh-CN"/>
        </w:rPr>
      </w:pPr>
      <w:r>
        <w:rPr>
          <w:rFonts w:hint="eastAsia" w:ascii="楷体" w:hAnsi="楷体" w:eastAsia="楷体" w:cs="宋体"/>
          <w:b/>
          <w:bCs/>
          <w:sz w:val="24"/>
          <w:lang w:eastAsia="zh-CN"/>
        </w:rPr>
        <w:t>表</w:t>
      </w:r>
      <w:r>
        <w:rPr>
          <w:rFonts w:hint="eastAsia" w:ascii="楷体" w:hAnsi="楷体" w:eastAsia="楷体" w:cs="宋体"/>
          <w:b/>
          <w:bCs/>
          <w:sz w:val="24"/>
          <w:lang w:val="en-US" w:eastAsia="zh-CN"/>
        </w:rPr>
        <w:t>1必修课课表</w:t>
      </w:r>
    </w:p>
    <w:tbl>
      <w:tblPr>
        <w:tblStyle w:val="3"/>
        <w:tblW w:w="5416" w:type="pct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245"/>
        <w:gridCol w:w="4072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FFFFFF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FFFFFF"/>
                <w:sz w:val="28"/>
                <w:szCs w:val="28"/>
              </w:rPr>
              <w:t>序号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FFFFFF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FFFFFF"/>
                <w:sz w:val="28"/>
                <w:szCs w:val="28"/>
              </w:rPr>
              <w:t>主板必修课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FFFFFF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FFFFFF"/>
                <w:sz w:val="28"/>
                <w:szCs w:val="28"/>
              </w:rPr>
              <w:t>科创板必修课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1</w:t>
            </w:r>
          </w:p>
        </w:tc>
        <w:tc>
          <w:tcPr>
            <w:tcW w:w="2299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近期监管</w:t>
            </w:r>
            <w:r>
              <w:rPr>
                <w:rFonts w:ascii="楷体" w:hAnsi="楷体" w:eastAsia="楷体" w:cs="宋体"/>
                <w:color w:val="000000"/>
                <w:sz w:val="24"/>
              </w:rPr>
              <w:t>规则速递及案例分析</w:t>
            </w:r>
          </w:p>
        </w:tc>
        <w:tc>
          <w:tcPr>
            <w:tcW w:w="4075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近期监管</w:t>
            </w:r>
            <w:r>
              <w:rPr>
                <w:rFonts w:ascii="楷体" w:hAnsi="楷体" w:eastAsia="楷体" w:cs="宋体"/>
                <w:color w:val="000000"/>
                <w:sz w:val="24"/>
              </w:rPr>
              <w:t>规则速递及案例分析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2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 xml:space="preserve">上市公司董监高规范履职要点及典型案例 </w:t>
            </w:r>
          </w:p>
        </w:tc>
        <w:tc>
          <w:tcPr>
            <w:tcW w:w="407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 xml:space="preserve">上市公司董监高规范履职要点及典型案例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3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上市公司</w:t>
            </w:r>
            <w:r>
              <w:rPr>
                <w:rFonts w:ascii="楷体" w:hAnsi="楷体" w:eastAsia="楷体" w:cs="宋体"/>
                <w:color w:val="000000"/>
                <w:sz w:val="24"/>
              </w:rPr>
              <w:t>规范运作及关键少数履职规范</w:t>
            </w:r>
          </w:p>
        </w:tc>
        <w:tc>
          <w:tcPr>
            <w:tcW w:w="407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上市公司</w:t>
            </w:r>
            <w:r>
              <w:rPr>
                <w:rFonts w:ascii="楷体" w:hAnsi="楷体" w:eastAsia="楷体" w:cs="宋体"/>
                <w:color w:val="000000"/>
                <w:sz w:val="24"/>
              </w:rPr>
              <w:t>规范运作及关键少数履职规范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4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监管政策</w:t>
            </w:r>
            <w:r>
              <w:rPr>
                <w:rFonts w:ascii="楷体" w:hAnsi="楷体" w:eastAsia="楷体" w:cs="宋体"/>
                <w:color w:val="000000"/>
                <w:sz w:val="24"/>
              </w:rPr>
              <w:t>形势分析</w:t>
            </w:r>
          </w:p>
        </w:tc>
        <w:tc>
          <w:tcPr>
            <w:tcW w:w="407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监管政策</w:t>
            </w:r>
            <w:r>
              <w:rPr>
                <w:rFonts w:ascii="楷体" w:hAnsi="楷体" w:eastAsia="楷体" w:cs="宋体"/>
                <w:color w:val="000000"/>
                <w:sz w:val="24"/>
              </w:rPr>
              <w:t>形势分析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5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楷体" w:hAnsi="楷体" w:eastAsia="楷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>上</w:t>
            </w: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 xml:space="preserve"> 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>上</w:t>
            </w: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6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（下）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董监高行政违法典型案例分析</w:t>
            </w:r>
            <w:r>
              <w:rPr>
                <w:rFonts w:hint="eastAsia" w:ascii="楷体" w:hAnsi="楷体" w:eastAsia="楷体" w:cs="宋体"/>
                <w:color w:val="000000"/>
                <w:sz w:val="24"/>
                <w:lang w:eastAsia="zh-CN"/>
              </w:rPr>
              <w:t>（下）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7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 xml:space="preserve">近期纪律处分案例  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 xml:space="preserve">    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科创板董监高纪律处分典型案例</w:t>
            </w:r>
            <w:r>
              <w:rPr>
                <w:rFonts w:ascii="楷体" w:hAnsi="楷体" w:eastAsia="楷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8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并购重组、再融资及分拆上市介绍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科创板持续监管理念与重点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5" w:type="pct"/>
            <w:tcBorders>
              <w:top w:val="single" w:color="4F81BD" w:sz="8" w:space="0"/>
              <w:left w:val="single" w:color="4F81BD" w:sz="8" w:space="0"/>
              <w:bottom w:val="nil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9</w:t>
            </w:r>
          </w:p>
        </w:tc>
        <w:tc>
          <w:tcPr>
            <w:tcW w:w="2299" w:type="pct"/>
            <w:tcBorders>
              <w:top w:val="single" w:color="4F81BD" w:sz="8" w:space="0"/>
              <w:left w:val="single" w:color="4F81BD" w:sz="8" w:space="0"/>
              <w:bottom w:val="nil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股权激励与员工持股</w:t>
            </w:r>
          </w:p>
        </w:tc>
        <w:tc>
          <w:tcPr>
            <w:tcW w:w="2205" w:type="pct"/>
            <w:tcBorders>
              <w:top w:val="single" w:color="4F81BD" w:sz="8" w:space="0"/>
              <w:left w:val="single" w:color="4F81BD" w:sz="8" w:space="0"/>
              <w:bottom w:val="nil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科创板股权激励、再融资、并购重组等政策</w:t>
            </w:r>
            <w:r>
              <w:rPr>
                <w:rFonts w:ascii="楷体" w:hAnsi="楷体" w:eastAsia="楷体" w:cs="宋体"/>
                <w:color w:val="000000"/>
                <w:sz w:val="24"/>
              </w:rPr>
              <w:t>特点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>介绍</w:t>
            </w:r>
          </w:p>
        </w:tc>
      </w:tr>
    </w:tbl>
    <w:p>
      <w:pPr>
        <w:spacing w:beforeLines="50"/>
        <w:rPr>
          <w:rFonts w:hint="eastAsia" w:ascii="楷体" w:hAnsi="楷体" w:eastAsia="楷体" w:cs="宋体"/>
          <w:b/>
          <w:bCs/>
          <w:sz w:val="24"/>
          <w:lang w:eastAsia="zh-CN"/>
        </w:rPr>
      </w:pPr>
    </w:p>
    <w:p>
      <w:pPr>
        <w:spacing w:beforeLines="50"/>
        <w:jc w:val="center"/>
        <w:rPr>
          <w:rFonts w:hint="default" w:ascii="楷体" w:hAnsi="楷体" w:eastAsia="楷体" w:cs="宋体"/>
          <w:b/>
          <w:bCs/>
          <w:sz w:val="24"/>
          <w:lang w:val="en-US" w:eastAsia="zh-CN"/>
        </w:rPr>
      </w:pPr>
      <w:r>
        <w:rPr>
          <w:rFonts w:hint="eastAsia" w:ascii="楷体" w:hAnsi="楷体" w:eastAsia="楷体" w:cs="宋体"/>
          <w:b/>
          <w:bCs/>
          <w:sz w:val="24"/>
          <w:lang w:eastAsia="zh-CN"/>
        </w:rPr>
        <w:t>表</w:t>
      </w:r>
      <w:r>
        <w:rPr>
          <w:rFonts w:hint="eastAsia" w:ascii="楷体" w:hAnsi="楷体" w:eastAsia="楷体" w:cs="宋体"/>
          <w:b/>
          <w:bCs/>
          <w:sz w:val="24"/>
          <w:lang w:val="en-US" w:eastAsia="zh-CN"/>
        </w:rPr>
        <w:t>2选修课课表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341"/>
        <w:gridCol w:w="6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000000" w:fill="4F81B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86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000000" w:fill="4F81B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课程类型</w:t>
            </w: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000000" w:fill="4F81B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选修课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6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pct"/>
            <w:vMerge w:val="restar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政策法规及工具解读</w:t>
            </w:r>
          </w:p>
        </w:tc>
        <w:tc>
          <w:tcPr>
            <w:tcW w:w="3756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上交所债券市场概况及融资品种介绍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上交所ETF市场概况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《公司法》专题讲解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《证券法》专题讲解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6" w:type="pct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国家战略与行业发展</w:t>
            </w: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绿色金融系列：绿色发展理念与绿色发展基金投资实践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绿色金融系列：企业碳管理实务与策略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绿色金融系列：ESG与风险管理综合实践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专精特新系列：集成电路产业创新与发展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专精特新系列：新能源产业链（非汽车）投资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专精特新系列：新能源汽车产业投资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专精特新系列：生物医药（创新医疗器械）投资研究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专精特新系列：大变局下高端制造投资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86" w:type="pct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公司治理与企业管理</w:t>
            </w: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持股行权角度谈投资者保护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86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新舆论生态下的上市公司N重压力与传播管理</w:t>
            </w:r>
          </w:p>
        </w:tc>
      </w:tr>
    </w:tbl>
    <w:p>
      <w:pPr>
        <w:rPr>
          <w:rFonts w:hint="eastAsia" w:ascii="楷体" w:hAnsi="楷体" w:eastAsia="楷体" w:cs="宋体"/>
          <w:b/>
          <w:bCs/>
          <w:sz w:val="24"/>
        </w:rPr>
      </w:pPr>
    </w:p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346C8"/>
    <w:rsid w:val="1CBB5DA3"/>
    <w:rsid w:val="317C7E86"/>
    <w:rsid w:val="5A60377E"/>
    <w:rsid w:val="6C2346C8"/>
    <w:rsid w:val="7FA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2023-03-09T05:27:00Z</dcterms:created>
  <dc:creator>tytang</dc:creator>
  <cp:lastModifiedBy>ytzhou</cp:lastModifiedBy>
  <cp:lastPrinted>2023-05-09T02:02:43Z</cp:lastPrinted>
  <dcterms:modified xsi:type="dcterms:W3CDTF">2023-05-09T02:07:31Z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F68FC4B335444994BB4B0A0453D0FCD2</vt:lpwstr>
  </property>
</Properties>
</file>